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2CFBF6" w14:textId="457016EE" w:rsidR="00152F86" w:rsidRDefault="005C542E" w:rsidP="00F62709">
      <w:pPr>
        <w:sectPr w:rsidR="00152F86" w:rsidSect="00613A44">
          <w:headerReference w:type="default" r:id="rId11"/>
          <w:footerReference w:type="even" r:id="rId12"/>
          <w:footerReference w:type="default" r:id="rId13"/>
          <w:headerReference w:type="first" r:id="rId14"/>
          <w:pgSz w:w="11900" w:h="16840"/>
          <w:pgMar w:top="1440" w:right="1440" w:bottom="1440" w:left="1440" w:header="709" w:footer="709" w:gutter="0"/>
          <w:pgNumType w:fmt="lowerRoman" w:start="1"/>
          <w:cols w:space="708"/>
          <w:titlePg/>
          <w:docGrid w:linePitch="360"/>
        </w:sectPr>
      </w:pPr>
      <w:bookmarkStart w:id="0" w:name="_Toc525737563"/>
      <w:bookmarkStart w:id="1" w:name="_Toc526159779"/>
      <w:bookmarkStart w:id="2" w:name="_Toc15308832"/>
      <w:bookmarkStart w:id="3" w:name="_Toc516750047"/>
      <w:bookmarkStart w:id="4" w:name="_Toc518656270"/>
      <w:bookmarkStart w:id="5" w:name="_Toc522194496"/>
      <w:bookmarkStart w:id="6" w:name="_Toc522194561"/>
      <w:bookmarkStart w:id="7" w:name="_Toc523386153"/>
      <w:bookmarkStart w:id="8" w:name="_Toc523392098"/>
      <w:bookmarkStart w:id="9" w:name="_Ref523392119"/>
      <w:bookmarkStart w:id="10" w:name="_Toc528325527"/>
      <w:bookmarkStart w:id="11" w:name="_Toc528327286"/>
      <w:bookmarkStart w:id="12" w:name="_Toc528327313"/>
      <w:bookmarkStart w:id="13" w:name="_Toc529440876"/>
      <w:r w:rsidRPr="00AC3D35">
        <w:rPr>
          <w:noProof/>
          <w:lang w:eastAsia="en-GB"/>
        </w:rPr>
        <mc:AlternateContent>
          <mc:Choice Requires="wps">
            <w:drawing>
              <wp:anchor distT="0" distB="0" distL="114300" distR="114300" simplePos="0" relativeHeight="251658240" behindDoc="0" locked="0" layoutInCell="1" allowOverlap="1" wp14:anchorId="78DC03E5" wp14:editId="2503989F">
                <wp:simplePos x="0" y="0"/>
                <wp:positionH relativeFrom="margin">
                  <wp:posOffset>-27305</wp:posOffset>
                </wp:positionH>
                <wp:positionV relativeFrom="margin">
                  <wp:posOffset>717863</wp:posOffset>
                </wp:positionV>
                <wp:extent cx="5772785" cy="264731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5772785" cy="2647315"/>
                        </a:xfrm>
                        <a:prstGeom prst="rect">
                          <a:avLst/>
                        </a:prstGeom>
                        <a:noFill/>
                        <a:ln w="6350">
                          <a:noFill/>
                        </a:ln>
                      </wps:spPr>
                      <wps:txbx>
                        <w:txbxContent>
                          <w:p w14:paraId="5B73CD43" w14:textId="3FDDF21D" w:rsidR="00152F86" w:rsidRPr="008E6F90" w:rsidRDefault="001E3650" w:rsidP="00BE0D2E">
                            <w:pPr>
                              <w:jc w:val="center"/>
                              <w:rPr>
                                <w:rFonts w:ascii="PT Sans" w:hAnsi="PT Sans"/>
                                <w:b/>
                                <w:color w:val="4C0053" w:themeColor="accent1"/>
                                <w:sz w:val="52"/>
                                <w:szCs w:val="52"/>
                              </w:rPr>
                            </w:pPr>
                            <w:r w:rsidRPr="008E6F90">
                              <w:rPr>
                                <w:rFonts w:ascii="PT Sans" w:hAnsi="PT Sans"/>
                                <w:b/>
                                <w:color w:val="4C0053" w:themeColor="accent1"/>
                                <w:sz w:val="52"/>
                                <w:szCs w:val="52"/>
                              </w:rPr>
                              <w:t>2024 Jordanian National Consultations on Disability-Inclusive Social Protection in Preparation for the Global Disability Summit</w:t>
                            </w:r>
                          </w:p>
                          <w:p w14:paraId="16931A8B" w14:textId="5B477687" w:rsidR="008F488C" w:rsidRPr="00AC4DBE" w:rsidRDefault="00F826C1" w:rsidP="005D7B49">
                            <w:pPr>
                              <w:jc w:val="center"/>
                              <w:rPr>
                                <w:rFonts w:ascii="PT Sans" w:hAnsi="PT Sans"/>
                                <w:b/>
                                <w:color w:val="4C0053" w:themeColor="accent1"/>
                                <w:sz w:val="56"/>
                                <w:szCs w:val="56"/>
                              </w:rPr>
                            </w:pPr>
                            <w:r>
                              <w:rPr>
                                <w:rFonts w:ascii="PT Sans" w:hAnsi="PT Sans"/>
                                <w:b/>
                                <w:color w:val="4C0053" w:themeColor="accent1"/>
                                <w:sz w:val="36"/>
                                <w:szCs w:val="36"/>
                              </w:rPr>
                              <w:t xml:space="preserve">Briefing </w:t>
                            </w:r>
                            <w:r w:rsidR="003302BE">
                              <w:rPr>
                                <w:rFonts w:ascii="PT Sans" w:hAnsi="PT Sans"/>
                                <w:b/>
                                <w:color w:val="4C0053" w:themeColor="accent1"/>
                                <w:sz w:val="36"/>
                                <w:szCs w:val="36"/>
                              </w:rPr>
                              <w:t>N</w:t>
                            </w:r>
                            <w:r>
                              <w:rPr>
                                <w:rFonts w:ascii="PT Sans" w:hAnsi="PT Sans"/>
                                <w:b/>
                                <w:color w:val="4C0053" w:themeColor="accent1"/>
                                <w:sz w:val="36"/>
                                <w:szCs w:val="36"/>
                              </w:rPr>
                              <w:t>ote: S</w:t>
                            </w:r>
                            <w:r w:rsidR="00E7641C">
                              <w:rPr>
                                <w:rFonts w:ascii="PT Sans" w:hAnsi="PT Sans"/>
                                <w:b/>
                                <w:color w:val="4C0053" w:themeColor="accent1"/>
                                <w:sz w:val="36"/>
                                <w:szCs w:val="36"/>
                              </w:rPr>
                              <w:t xml:space="preserve">ummary of </w:t>
                            </w:r>
                            <w:r w:rsidR="00FD50AC">
                              <w:rPr>
                                <w:rFonts w:ascii="PT Sans" w:hAnsi="PT Sans"/>
                                <w:b/>
                                <w:color w:val="4C0053" w:themeColor="accent1"/>
                                <w:sz w:val="36"/>
                                <w:szCs w:val="36"/>
                              </w:rPr>
                              <w:t>R</w:t>
                            </w:r>
                            <w:r w:rsidR="00E7641C">
                              <w:rPr>
                                <w:rFonts w:ascii="PT Sans" w:hAnsi="PT Sans"/>
                                <w:b/>
                                <w:color w:val="4C0053" w:themeColor="accent1"/>
                                <w:sz w:val="36"/>
                                <w:szCs w:val="36"/>
                              </w:rPr>
                              <w:t>ecommendations</w:t>
                            </w:r>
                            <w:r w:rsidR="0088633D">
                              <w:rPr>
                                <w:rFonts w:ascii="PT Sans" w:hAnsi="PT Sans"/>
                                <w:b/>
                                <w:color w:val="4C0053" w:themeColor="accent1"/>
                                <w:sz w:val="36"/>
                                <w:szCs w:val="36"/>
                              </w:rPr>
                              <w:t xml:space="preserve"> </w:t>
                            </w:r>
                            <w:r w:rsidR="00866640">
                              <w:rPr>
                                <w:rFonts w:ascii="PT Sans" w:hAnsi="PT Sans"/>
                                <w:b/>
                                <w:color w:val="4C0053" w:themeColor="accent1"/>
                                <w:sz w:val="36"/>
                                <w:szCs w:val="36"/>
                              </w:rPr>
                              <w:t xml:space="preserve">from </w:t>
                            </w:r>
                            <w:r w:rsidR="00FD50AC">
                              <w:rPr>
                                <w:rFonts w:ascii="PT Sans" w:hAnsi="PT Sans"/>
                                <w:b/>
                                <w:color w:val="4C0053" w:themeColor="accent1"/>
                                <w:sz w:val="36"/>
                                <w:szCs w:val="36"/>
                              </w:rPr>
                              <w:t>N</w:t>
                            </w:r>
                            <w:r w:rsidR="00866640">
                              <w:rPr>
                                <w:rFonts w:ascii="PT Sans" w:hAnsi="PT Sans"/>
                                <w:b/>
                                <w:color w:val="4C0053" w:themeColor="accent1"/>
                                <w:sz w:val="36"/>
                                <w:szCs w:val="36"/>
                              </w:rPr>
                              <w:t xml:space="preserve">ational </w:t>
                            </w:r>
                            <w:r w:rsidR="00FD50AC">
                              <w:rPr>
                                <w:rFonts w:ascii="PT Sans" w:hAnsi="PT Sans"/>
                                <w:b/>
                                <w:color w:val="4C0053" w:themeColor="accent1"/>
                                <w:sz w:val="36"/>
                                <w:szCs w:val="36"/>
                              </w:rPr>
                              <w:t>C</w:t>
                            </w:r>
                            <w:r w:rsidR="00866640">
                              <w:rPr>
                                <w:rFonts w:ascii="PT Sans" w:hAnsi="PT Sans"/>
                                <w:b/>
                                <w:color w:val="4C0053" w:themeColor="accent1"/>
                                <w:sz w:val="36"/>
                                <w:szCs w:val="36"/>
                              </w:rPr>
                              <w:t>onsultations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03E5" id="_x0000_t202" coordsize="21600,21600" o:spt="202" path="m,l,21600r21600,l21600,xe">
                <v:stroke joinstyle="miter"/>
                <v:path gradientshapeok="t" o:connecttype="rect"/>
              </v:shapetype>
              <v:shape id="Text Box 16" o:spid="_x0000_s1026" type="#_x0000_t202" style="position:absolute;margin-left:-2.15pt;margin-top:56.5pt;width:454.55pt;height:208.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" filled="f" stroked="f" strokeweight=".5pt">
                <v:textbox>
                  <w:txbxContent>
                    <w:p w14:paraId="5B73CD43" w14:textId="3FDDF21D" w:rsidR="00152F86" w:rsidRPr="008E6F90" w:rsidRDefault="001E3650" w:rsidP="00BE0D2E">
                      <w:pPr>
                        <w:jc w:val="center"/>
                        <w:rPr>
                          <w:rFonts w:ascii="PT Sans" w:hAnsi="PT Sans"/>
                          <w:b/>
                          <w:color w:val="4C0053" w:themeColor="accent1"/>
                          <w:sz w:val="52"/>
                          <w:szCs w:val="52"/>
                        </w:rPr>
                      </w:pPr>
                      <w:r w:rsidRPr="008E6F90">
                        <w:rPr>
                          <w:rFonts w:ascii="PT Sans" w:hAnsi="PT Sans"/>
                          <w:b/>
                          <w:color w:val="4C0053" w:themeColor="accent1"/>
                          <w:sz w:val="52"/>
                          <w:szCs w:val="52"/>
                        </w:rPr>
                        <w:t>2024 Jordanian National Consultations on Disability-Inclusive Social Protection in Preparation for the Global Disability Summit</w:t>
                      </w:r>
                    </w:p>
                    <w:p w14:paraId="16931A8B" w14:textId="5B477687" w:rsidR="008F488C" w:rsidRPr="00AC4DBE" w:rsidRDefault="00F826C1" w:rsidP="005D7B49">
                      <w:pPr>
                        <w:jc w:val="center"/>
                        <w:rPr>
                          <w:rFonts w:ascii="PT Sans" w:hAnsi="PT Sans"/>
                          <w:b/>
                          <w:color w:val="4C0053" w:themeColor="accent1"/>
                          <w:sz w:val="56"/>
                          <w:szCs w:val="56"/>
                        </w:rPr>
                      </w:pPr>
                      <w:r>
                        <w:rPr>
                          <w:rFonts w:ascii="PT Sans" w:hAnsi="PT Sans"/>
                          <w:b/>
                          <w:color w:val="4C0053" w:themeColor="accent1"/>
                          <w:sz w:val="36"/>
                          <w:szCs w:val="36"/>
                        </w:rPr>
                        <w:t xml:space="preserve">Briefing </w:t>
                      </w:r>
                      <w:r w:rsidR="003302BE">
                        <w:rPr>
                          <w:rFonts w:ascii="PT Sans" w:hAnsi="PT Sans"/>
                          <w:b/>
                          <w:color w:val="4C0053" w:themeColor="accent1"/>
                          <w:sz w:val="36"/>
                          <w:szCs w:val="36"/>
                        </w:rPr>
                        <w:t>N</w:t>
                      </w:r>
                      <w:r>
                        <w:rPr>
                          <w:rFonts w:ascii="PT Sans" w:hAnsi="PT Sans"/>
                          <w:b/>
                          <w:color w:val="4C0053" w:themeColor="accent1"/>
                          <w:sz w:val="36"/>
                          <w:szCs w:val="36"/>
                        </w:rPr>
                        <w:t>ote: S</w:t>
                      </w:r>
                      <w:r w:rsidR="00E7641C">
                        <w:rPr>
                          <w:rFonts w:ascii="PT Sans" w:hAnsi="PT Sans"/>
                          <w:b/>
                          <w:color w:val="4C0053" w:themeColor="accent1"/>
                          <w:sz w:val="36"/>
                          <w:szCs w:val="36"/>
                        </w:rPr>
                        <w:t xml:space="preserve">ummary of </w:t>
                      </w:r>
                      <w:r w:rsidR="00FD50AC">
                        <w:rPr>
                          <w:rFonts w:ascii="PT Sans" w:hAnsi="PT Sans"/>
                          <w:b/>
                          <w:color w:val="4C0053" w:themeColor="accent1"/>
                          <w:sz w:val="36"/>
                          <w:szCs w:val="36"/>
                        </w:rPr>
                        <w:t>R</w:t>
                      </w:r>
                      <w:r w:rsidR="00E7641C">
                        <w:rPr>
                          <w:rFonts w:ascii="PT Sans" w:hAnsi="PT Sans"/>
                          <w:b/>
                          <w:color w:val="4C0053" w:themeColor="accent1"/>
                          <w:sz w:val="36"/>
                          <w:szCs w:val="36"/>
                        </w:rPr>
                        <w:t>ecommendations</w:t>
                      </w:r>
                      <w:r w:rsidR="0088633D">
                        <w:rPr>
                          <w:rFonts w:ascii="PT Sans" w:hAnsi="PT Sans"/>
                          <w:b/>
                          <w:color w:val="4C0053" w:themeColor="accent1"/>
                          <w:sz w:val="36"/>
                          <w:szCs w:val="36"/>
                        </w:rPr>
                        <w:t xml:space="preserve"> </w:t>
                      </w:r>
                      <w:r w:rsidR="00866640">
                        <w:rPr>
                          <w:rFonts w:ascii="PT Sans" w:hAnsi="PT Sans"/>
                          <w:b/>
                          <w:color w:val="4C0053" w:themeColor="accent1"/>
                          <w:sz w:val="36"/>
                          <w:szCs w:val="36"/>
                        </w:rPr>
                        <w:t xml:space="preserve">from </w:t>
                      </w:r>
                      <w:r w:rsidR="00FD50AC">
                        <w:rPr>
                          <w:rFonts w:ascii="PT Sans" w:hAnsi="PT Sans"/>
                          <w:b/>
                          <w:color w:val="4C0053" w:themeColor="accent1"/>
                          <w:sz w:val="36"/>
                          <w:szCs w:val="36"/>
                        </w:rPr>
                        <w:t>N</w:t>
                      </w:r>
                      <w:r w:rsidR="00866640">
                        <w:rPr>
                          <w:rFonts w:ascii="PT Sans" w:hAnsi="PT Sans"/>
                          <w:b/>
                          <w:color w:val="4C0053" w:themeColor="accent1"/>
                          <w:sz w:val="36"/>
                          <w:szCs w:val="36"/>
                        </w:rPr>
                        <w:t xml:space="preserve">ational </w:t>
                      </w:r>
                      <w:r w:rsidR="00FD50AC">
                        <w:rPr>
                          <w:rFonts w:ascii="PT Sans" w:hAnsi="PT Sans"/>
                          <w:b/>
                          <w:color w:val="4C0053" w:themeColor="accent1"/>
                          <w:sz w:val="36"/>
                          <w:szCs w:val="36"/>
                        </w:rPr>
                        <w:t>C</w:t>
                      </w:r>
                      <w:r w:rsidR="00866640">
                        <w:rPr>
                          <w:rFonts w:ascii="PT Sans" w:hAnsi="PT Sans"/>
                          <w:b/>
                          <w:color w:val="4C0053" w:themeColor="accent1"/>
                          <w:sz w:val="36"/>
                          <w:szCs w:val="36"/>
                        </w:rPr>
                        <w:t>onsultations</w:t>
                      </w:r>
                    </w:p>
                  </w:txbxContent>
                </v:textbox>
                <w10:wrap type="square" anchorx="margin" anchory="margin"/>
              </v:shape>
            </w:pict>
          </mc:Fallback>
        </mc:AlternateContent>
      </w:r>
      <w:r w:rsidR="00BA5E40" w:rsidRPr="00152F86">
        <w:rPr>
          <w:noProof/>
        </w:rPr>
        <mc:AlternateContent>
          <mc:Choice Requires="wps">
            <w:drawing>
              <wp:anchor distT="0" distB="0" distL="114300" distR="114300" simplePos="0" relativeHeight="251658246" behindDoc="0" locked="0" layoutInCell="1" allowOverlap="1" wp14:anchorId="2CC420E1" wp14:editId="782C84B2">
                <wp:simplePos x="0" y="0"/>
                <wp:positionH relativeFrom="margin">
                  <wp:align>center</wp:align>
                </wp:positionH>
                <wp:positionV relativeFrom="margin">
                  <wp:align>center</wp:align>
                </wp:positionV>
                <wp:extent cx="5410200" cy="57848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5410200" cy="578485"/>
                        </a:xfrm>
                        <a:prstGeom prst="rect">
                          <a:avLst/>
                        </a:prstGeom>
                        <a:noFill/>
                        <a:ln w="6350">
                          <a:noFill/>
                        </a:ln>
                      </wps:spPr>
                      <wps:txbx>
                        <w:txbxContent>
                          <w:p w14:paraId="05B05A35" w14:textId="34E83B1E" w:rsidR="00BA5E40" w:rsidRPr="00BB42F0" w:rsidRDefault="00AC4DBE" w:rsidP="00BA5E40">
                            <w:pPr>
                              <w:jc w:val="center"/>
                              <w:rPr>
                                <w:rFonts w:ascii="PT Sans" w:hAnsi="PT Sans"/>
                                <w:b/>
                                <w:color w:val="4C0053" w:themeColor="accent1"/>
                                <w:sz w:val="32"/>
                                <w:szCs w:val="32"/>
                              </w:rPr>
                            </w:pPr>
                            <w:r>
                              <w:rPr>
                                <w:rFonts w:ascii="PT Sans" w:hAnsi="PT Sans"/>
                                <w:b/>
                                <w:color w:val="4C0053" w:themeColor="accent1"/>
                                <w:sz w:val="32"/>
                                <w:szCs w:val="32"/>
                              </w:rPr>
                              <w:t>December</w:t>
                            </w:r>
                            <w:r w:rsidR="00BA5E40">
                              <w:rPr>
                                <w:rFonts w:ascii="PT Sans" w:hAnsi="PT Sans"/>
                                <w:b/>
                                <w:color w:val="4C0053" w:themeColor="accent1"/>
                                <w:sz w:val="32"/>
                                <w:szCs w:val="32"/>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20E1" id="Text Box 14" o:spid="_x0000_s1027" type="#_x0000_t202" style="position:absolute;margin-left:0;margin-top:0;width:426pt;height:45.55pt;z-index:25165824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" filled="f" stroked="f" strokeweight=".5pt">
                <v:textbox>
                  <w:txbxContent>
                    <w:p w14:paraId="05B05A35" w14:textId="34E83B1E" w:rsidR="00BA5E40" w:rsidRPr="00BB42F0" w:rsidRDefault="00AC4DBE" w:rsidP="00BA5E40">
                      <w:pPr>
                        <w:jc w:val="center"/>
                        <w:rPr>
                          <w:rFonts w:ascii="PT Sans" w:hAnsi="PT Sans"/>
                          <w:b/>
                          <w:color w:val="4C0053" w:themeColor="accent1"/>
                          <w:sz w:val="32"/>
                          <w:szCs w:val="32"/>
                        </w:rPr>
                      </w:pPr>
                      <w:r>
                        <w:rPr>
                          <w:rFonts w:ascii="PT Sans" w:hAnsi="PT Sans"/>
                          <w:b/>
                          <w:color w:val="4C0053" w:themeColor="accent1"/>
                          <w:sz w:val="32"/>
                          <w:szCs w:val="32"/>
                        </w:rPr>
                        <w:t>December</w:t>
                      </w:r>
                      <w:r w:rsidR="00BA5E40">
                        <w:rPr>
                          <w:rFonts w:ascii="PT Sans" w:hAnsi="PT Sans"/>
                          <w:b/>
                          <w:color w:val="4C0053" w:themeColor="accent1"/>
                          <w:sz w:val="32"/>
                          <w:szCs w:val="32"/>
                        </w:rPr>
                        <w:t xml:space="preserve"> 2024</w:t>
                      </w:r>
                    </w:p>
                  </w:txbxContent>
                </v:textbox>
                <w10:wrap type="square" anchorx="margin" anchory="margin"/>
              </v:shape>
            </w:pict>
          </mc:Fallback>
        </mc:AlternateContent>
      </w:r>
      <w:r w:rsidR="00F62709" w:rsidRPr="00F62709">
        <w:rPr>
          <w:noProof/>
        </w:rPr>
        <w:drawing>
          <wp:anchor distT="0" distB="0" distL="114300" distR="114300" simplePos="0" relativeHeight="251658244" behindDoc="0" locked="0" layoutInCell="1" allowOverlap="1" wp14:anchorId="0AE9E0A3" wp14:editId="04635896">
            <wp:simplePos x="0" y="0"/>
            <wp:positionH relativeFrom="column">
              <wp:posOffset>4284784</wp:posOffset>
            </wp:positionH>
            <wp:positionV relativeFrom="paragraph">
              <wp:posOffset>5655275</wp:posOffset>
            </wp:positionV>
            <wp:extent cx="2072005" cy="300990"/>
            <wp:effectExtent l="0" t="0" r="0" b="3810"/>
            <wp:wrapSquare wrapText="bothSides"/>
            <wp:docPr id="290822334" name="Picture 290822334" descr="A close up of a logo&#10;&#10;Description automatically generated">
              <a:extLst xmlns:a="http://schemas.openxmlformats.org/drawingml/2006/main">
                <a:ext uri="{FF2B5EF4-FFF2-40B4-BE49-F238E27FC236}">
                  <a16:creationId xmlns:a16="http://schemas.microsoft.com/office/drawing/2014/main" id="{03F0C4B9-F457-2FAB-3A4A-B344B355D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logo&#10;&#10;Description automatically generated">
                      <a:extLst>
                        <a:ext uri="{FF2B5EF4-FFF2-40B4-BE49-F238E27FC236}">
                          <a16:creationId xmlns:a16="http://schemas.microsoft.com/office/drawing/2014/main" id="{03F0C4B9-F457-2FAB-3A4A-B344B355D5E9}"/>
                        </a:ext>
                      </a:extLst>
                    </pic:cNvPr>
                    <pic:cNvPicPr>
                      <a:picLocks noChangeAspect="1"/>
                    </pic:cNvPicPr>
                  </pic:nvPicPr>
                  <pic:blipFill>
                    <a:blip r:embed="rId15" cstate="print">
                      <a:alphaModFix amt="85000"/>
                      <a:extLst>
                        <a:ext uri="{28A0092B-C50C-407E-A947-70E740481C1C}">
                          <a14:useLocalDpi xmlns:a14="http://schemas.microsoft.com/office/drawing/2010/main" val="0"/>
                        </a:ext>
                      </a:extLst>
                    </a:blip>
                    <a:stretch>
                      <a:fillRect/>
                    </a:stretch>
                  </pic:blipFill>
                  <pic:spPr>
                    <a:xfrm>
                      <a:off x="0" y="0"/>
                      <a:ext cx="2072005" cy="300990"/>
                    </a:xfrm>
                    <a:prstGeom prst="rect">
                      <a:avLst/>
                    </a:prstGeom>
                  </pic:spPr>
                </pic:pic>
              </a:graphicData>
            </a:graphic>
            <wp14:sizeRelH relativeFrom="page">
              <wp14:pctWidth>0</wp14:pctWidth>
            </wp14:sizeRelH>
            <wp14:sizeRelV relativeFrom="page">
              <wp14:pctHeight>0</wp14:pctHeight>
            </wp14:sizeRelV>
          </wp:anchor>
        </w:drawing>
      </w:r>
      <w:r w:rsidR="00467084" w:rsidRPr="00AC3D35">
        <w:rPr>
          <w:noProof/>
          <w:lang w:eastAsia="en-GB"/>
        </w:rPr>
        <w:drawing>
          <wp:anchor distT="0" distB="0" distL="114300" distR="114300" simplePos="0" relativeHeight="251658245" behindDoc="0" locked="0" layoutInCell="1" allowOverlap="1" wp14:anchorId="665E803C" wp14:editId="067F2CAA">
            <wp:simplePos x="0" y="0"/>
            <wp:positionH relativeFrom="column">
              <wp:posOffset>1145240</wp:posOffset>
            </wp:positionH>
            <wp:positionV relativeFrom="paragraph">
              <wp:posOffset>3967480</wp:posOffset>
            </wp:positionV>
            <wp:extent cx="3605530" cy="1195705"/>
            <wp:effectExtent l="0" t="0" r="0" b="0"/>
            <wp:wrapSquare wrapText="bothSides"/>
            <wp:docPr id="94362414" name="Picture 943624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2414" name="Picture 1" descr="A black background with blue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5530" cy="1195705"/>
                    </a:xfrm>
                    <a:prstGeom prst="rect">
                      <a:avLst/>
                    </a:prstGeom>
                  </pic:spPr>
                </pic:pic>
              </a:graphicData>
            </a:graphic>
            <wp14:sizeRelH relativeFrom="page">
              <wp14:pctWidth>0</wp14:pctWidth>
            </wp14:sizeRelH>
            <wp14:sizeRelV relativeFrom="page">
              <wp14:pctHeight>0</wp14:pctHeight>
            </wp14:sizeRelV>
          </wp:anchor>
        </w:drawing>
      </w:r>
      <w:r w:rsidR="00467084" w:rsidRPr="00467084">
        <w:rPr>
          <w:noProof/>
        </w:rPr>
        <w:drawing>
          <wp:anchor distT="0" distB="0" distL="114300" distR="114300" simplePos="0" relativeHeight="251658243" behindDoc="0" locked="0" layoutInCell="1" allowOverlap="1" wp14:anchorId="45B28F13" wp14:editId="199BB21E">
            <wp:simplePos x="0" y="0"/>
            <wp:positionH relativeFrom="column">
              <wp:posOffset>-623563</wp:posOffset>
            </wp:positionH>
            <wp:positionV relativeFrom="paragraph">
              <wp:posOffset>5594985</wp:posOffset>
            </wp:positionV>
            <wp:extent cx="2355215" cy="461645"/>
            <wp:effectExtent l="0" t="0" r="0" b="0"/>
            <wp:wrapSquare wrapText="bothSides"/>
            <wp:docPr id="568384641" name="Picture 568384641" descr="A black and white logo&#10;&#10;Description automatically generated">
              <a:extLst xmlns:a="http://schemas.openxmlformats.org/drawingml/2006/main">
                <a:ext uri="{FF2B5EF4-FFF2-40B4-BE49-F238E27FC236}">
                  <a16:creationId xmlns:a16="http://schemas.microsoft.com/office/drawing/2014/main" id="{77F682A8-BDD5-7283-196A-5CF95B9E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4641" name="Picture 568384641" descr="A black and white logo&#10;&#10;Description automatically generated">
                      <a:extLst>
                        <a:ext uri="{FF2B5EF4-FFF2-40B4-BE49-F238E27FC236}">
                          <a16:creationId xmlns:a16="http://schemas.microsoft.com/office/drawing/2014/main" id="{77F682A8-BDD5-7283-196A-5CF95B9EF88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355215" cy="461645"/>
                    </a:xfrm>
                    <a:prstGeom prst="rect">
                      <a:avLst/>
                    </a:prstGeom>
                  </pic:spPr>
                </pic:pic>
              </a:graphicData>
            </a:graphic>
            <wp14:sizeRelH relativeFrom="page">
              <wp14:pctWidth>0</wp14:pctWidth>
            </wp14:sizeRelH>
            <wp14:sizeRelV relativeFrom="page">
              <wp14:pctHeight>0</wp14:pctHeight>
            </wp14:sizeRelV>
          </wp:anchor>
        </w:drawing>
      </w:r>
      <w:r w:rsidR="00556548" w:rsidRPr="00152F86">
        <w:rPr>
          <w:noProof/>
        </w:rPr>
        <mc:AlternateContent>
          <mc:Choice Requires="wps">
            <w:drawing>
              <wp:anchor distT="0" distB="0" distL="114300" distR="114300" simplePos="0" relativeHeight="251658241" behindDoc="0" locked="0" layoutInCell="1" allowOverlap="1" wp14:anchorId="11B4F787" wp14:editId="1A4FA148">
                <wp:simplePos x="0" y="0"/>
                <wp:positionH relativeFrom="column">
                  <wp:posOffset>1527349</wp:posOffset>
                </wp:positionH>
                <wp:positionV relativeFrom="paragraph">
                  <wp:posOffset>6138022</wp:posOffset>
                </wp:positionV>
                <wp:extent cx="2758440" cy="44212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758440" cy="442127"/>
                        </a:xfrm>
                        <a:prstGeom prst="rect">
                          <a:avLst/>
                        </a:prstGeom>
                        <a:noFill/>
                        <a:ln w="6350">
                          <a:noFill/>
                        </a:ln>
                      </wps:spPr>
                      <wps:txb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4F787" id="Text Box 41" o:spid="_x0000_s1028" type="#_x0000_t202" style="position:absolute;margin-left:120.25pt;margin-top:483.3pt;width:217.2pt;height:3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" filled="f" stroked="f" strokeweight=".5pt">
                <v:textbo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v:textbox>
              </v:shape>
            </w:pict>
          </mc:Fallback>
        </mc:AlternateContent>
      </w:r>
      <w:r w:rsidR="00556548" w:rsidRPr="00556548">
        <w:rPr>
          <w:noProof/>
        </w:rPr>
        <w:drawing>
          <wp:anchor distT="0" distB="0" distL="114300" distR="114300" simplePos="0" relativeHeight="251658242" behindDoc="0" locked="0" layoutInCell="1" allowOverlap="1" wp14:anchorId="60F7CC13" wp14:editId="4384EE1D">
            <wp:simplePos x="0" y="0"/>
            <wp:positionH relativeFrom="column">
              <wp:posOffset>1959163</wp:posOffset>
            </wp:positionH>
            <wp:positionV relativeFrom="paragraph">
              <wp:posOffset>5506141</wp:posOffset>
            </wp:positionV>
            <wp:extent cx="1982074" cy="632140"/>
            <wp:effectExtent l="0" t="0" r="0" b="3175"/>
            <wp:wrapSquare wrapText="bothSides"/>
            <wp:docPr id="11" name="Picture 11" descr="A logo with blue and orange text&#10;&#10;Description automatically generated">
              <a:extLst xmlns:a="http://schemas.openxmlformats.org/drawingml/2006/main">
                <a:ext uri="{FF2B5EF4-FFF2-40B4-BE49-F238E27FC236}">
                  <a16:creationId xmlns:a16="http://schemas.microsoft.com/office/drawing/2014/main" id="{821BD1DB-FAEE-9DAC-A5D5-7CDD825EF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blue and orange text&#10;&#10;Description automatically generated">
                      <a:extLst>
                        <a:ext uri="{FF2B5EF4-FFF2-40B4-BE49-F238E27FC236}">
                          <a16:creationId xmlns:a16="http://schemas.microsoft.com/office/drawing/2014/main" id="{821BD1DB-FAEE-9DAC-A5D5-7CDD825EF731}"/>
                        </a:ext>
                      </a:extLst>
                    </pic:cNvPr>
                    <pic:cNvPicPr>
                      <a:picLocks noChangeAspect="1"/>
                    </pic:cNvPicPr>
                  </pic:nvPicPr>
                  <pic:blipFill>
                    <a:blip r:embed="rId18">
                      <a:alphaModFix amt="85000"/>
                      <a:extLst>
                        <a:ext uri="{28A0092B-C50C-407E-A947-70E740481C1C}">
                          <a14:useLocalDpi xmlns:a14="http://schemas.microsoft.com/office/drawing/2010/main" val="0"/>
                        </a:ext>
                      </a:extLst>
                    </a:blip>
                    <a:stretch>
                      <a:fillRect/>
                    </a:stretch>
                  </pic:blipFill>
                  <pic:spPr bwMode="auto">
                    <a:xfrm>
                      <a:off x="0" y="0"/>
                      <a:ext cx="1982074" cy="632140"/>
                    </a:xfrm>
                    <a:prstGeom prst="rect">
                      <a:avLst/>
                    </a:prstGeom>
                  </pic:spPr>
                </pic:pic>
              </a:graphicData>
            </a:graphic>
            <wp14:sizeRelH relativeFrom="page">
              <wp14:pctWidth>0</wp14:pctWidth>
            </wp14:sizeRelH>
            <wp14:sizeRelV relativeFrom="page">
              <wp14:pctHeight>0</wp14:pctHeight>
            </wp14:sizeRelV>
          </wp:anchor>
        </w:drawing>
      </w:r>
    </w:p>
    <w:bookmarkEnd w:id="0"/>
    <w:bookmarkEnd w:id="1"/>
    <w:bookmarkEnd w:id="2"/>
    <w:bookmarkEnd w:id="3"/>
    <w:bookmarkEnd w:id="4"/>
    <w:bookmarkEnd w:id="5"/>
    <w:bookmarkEnd w:id="6"/>
    <w:bookmarkEnd w:id="7"/>
    <w:bookmarkEnd w:id="8"/>
    <w:bookmarkEnd w:id="9"/>
    <w:bookmarkEnd w:id="10"/>
    <w:bookmarkEnd w:id="11"/>
    <w:bookmarkEnd w:id="12"/>
    <w:bookmarkEnd w:id="13"/>
    <w:p w14:paraId="0E03F1A0" w14:textId="2E86F767" w:rsidR="00457BE1" w:rsidRDefault="00377819" w:rsidP="00EA4A19">
      <w:pPr>
        <w:pStyle w:val="Heading1"/>
        <w:ind w:left="0"/>
        <w:jc w:val="both"/>
      </w:pPr>
      <w:r>
        <w:lastRenderedPageBreak/>
        <w:t>Introduction</w:t>
      </w:r>
    </w:p>
    <w:p w14:paraId="7851001F" w14:textId="1B8D466E" w:rsidR="00664E3A" w:rsidRDefault="00664E3A" w:rsidP="00664E3A">
      <w:pPr>
        <w:jc w:val="both"/>
      </w:pPr>
      <w:r>
        <w:t xml:space="preserve">The Global Disability Summit (GDS) is the premier international event focused on advancing the rights of persons with disabilities. Since its inception in 2018, the GDS has served as a vital platform for global collaboration, bringing together diverse stakeholders to drive disability-inclusive development and advocate for the rights of </w:t>
      </w:r>
      <w:r w:rsidR="00EF10C8">
        <w:t xml:space="preserve">persons </w:t>
      </w:r>
      <w:r>
        <w:t>with disabilities, particularly in the Global South. The next GDS, scheduled for April 2025, will be jointly hosted by Germany and Jordan, alongside the International Disability Alliance (IDA), and will take place in Berlin.</w:t>
      </w:r>
    </w:p>
    <w:p w14:paraId="3AD29A9C" w14:textId="15636CAA" w:rsidR="00443862" w:rsidRDefault="00664E3A" w:rsidP="00664E3A">
      <w:pPr>
        <w:jc w:val="both"/>
      </w:pPr>
      <w:r>
        <w:t>In preparation for the 2025 Summit, the Higher Council for Persons with Disabilities (HCD) in Jordan is leading the country’s engagement and has chosen to focus on disability-inclusive social protection as a key theme. This initiative aims to shape the dialogue both within Jordan and on the international stage. As part of this effort, the HCD, in partnership with the UK-funded Shamil project, organi</w:t>
      </w:r>
      <w:r w:rsidR="00CE0C17">
        <w:t>s</w:t>
      </w:r>
      <w:r>
        <w:t>ed two national consultations on disability-inclusive social protection in September and October 2024. The workshops, held at the Dead Sea and in Aqaba, brought together</w:t>
      </w:r>
      <w:r w:rsidR="00587AFE" w:rsidRPr="00587AFE">
        <w:t xml:space="preserve"> over 100 participants</w:t>
      </w:r>
      <w:r w:rsidR="00AC3D35">
        <w:t xml:space="preserve"> (including HCD and Shamil)</w:t>
      </w:r>
      <w:r w:rsidR="00857DE6">
        <w:t xml:space="preserve"> from Jordan’s northern, central and southern regions</w:t>
      </w:r>
      <w:r w:rsidR="00847BD2">
        <w:t>. Attendees</w:t>
      </w:r>
      <w:r w:rsidR="00587AFE" w:rsidRPr="00587AFE">
        <w:t xml:space="preserve"> includ</w:t>
      </w:r>
      <w:r w:rsidR="00847BD2">
        <w:t>ed</w:t>
      </w:r>
      <w:r w:rsidR="00587AFE" w:rsidRPr="00587AFE">
        <w:t xml:space="preserve"> government officials, representatives from civil society organisations (CSOs), organisations of persons with disabilities (OPDs) and disability advocates.</w:t>
      </w:r>
    </w:p>
    <w:p w14:paraId="59C9EDA4" w14:textId="2F2ADD55" w:rsidR="00123CDF" w:rsidRDefault="00664E3A" w:rsidP="00BE24CC">
      <w:pPr>
        <w:jc w:val="both"/>
      </w:pPr>
      <w:r>
        <w:t>The consultations w</w:t>
      </w:r>
      <w:r w:rsidR="00706D99">
        <w:t>ere designed</w:t>
      </w:r>
      <w:r>
        <w:t xml:space="preserve"> to deepen participants’ understanding of best practices in </w:t>
      </w:r>
      <w:r w:rsidR="001E778B">
        <w:t>designing and implementing</w:t>
      </w:r>
      <w:r>
        <w:t xml:space="preserve"> </w:t>
      </w:r>
      <w:r w:rsidR="007D4528">
        <w:t>disability-</w:t>
      </w:r>
      <w:r>
        <w:t>inclusive social protection systems</w:t>
      </w:r>
      <w:r w:rsidR="00A86276">
        <w:t>, specifically social security and social services</w:t>
      </w:r>
      <w:r w:rsidR="00AC20A0">
        <w:t>, empo</w:t>
      </w:r>
      <w:r w:rsidR="000A6032">
        <w:t>wering them to make comprehensive proposals for social protection reforms in Jordan</w:t>
      </w:r>
      <w:r w:rsidR="00706D99">
        <w:t>.</w:t>
      </w:r>
      <w:r w:rsidR="004D07F4">
        <w:t xml:space="preserve"> </w:t>
      </w:r>
      <w:r w:rsidR="00574FEC" w:rsidRPr="00574FEC">
        <w:t xml:space="preserve">Technical experts led presentations on these core topics, </w:t>
      </w:r>
      <w:r w:rsidR="00F25009">
        <w:t>alongside</w:t>
      </w:r>
      <w:r w:rsidR="00012A29">
        <w:t xml:space="preserve"> an</w:t>
      </w:r>
      <w:r w:rsidR="00574FEC" w:rsidRPr="00574FEC">
        <w:t xml:space="preserve"> HCD</w:t>
      </w:r>
      <w:r w:rsidR="00012A29">
        <w:t>-led session</w:t>
      </w:r>
      <w:r w:rsidR="00574FEC" w:rsidRPr="00574FEC">
        <w:t xml:space="preserve"> on de-institutionalisation</w:t>
      </w:r>
      <w:r w:rsidR="0098657E">
        <w:t xml:space="preserve"> (De-I)</w:t>
      </w:r>
      <w:r w:rsidR="00574FEC" w:rsidRPr="00574FEC">
        <w:t xml:space="preserve"> in Jordan. Specialists </w:t>
      </w:r>
      <w:r w:rsidR="00882FEC">
        <w:t xml:space="preserve">from the International Labour Organization and </w:t>
      </w:r>
      <w:r w:rsidR="00B71E61">
        <w:t>International Orthodox Christian Charities</w:t>
      </w:r>
      <w:r w:rsidR="00B71E61" w:rsidRPr="00574FEC">
        <w:t xml:space="preserve"> </w:t>
      </w:r>
      <w:r w:rsidR="00574FEC" w:rsidRPr="00574FEC">
        <w:t>also provided insights on the intersection of international labour standards and social protection for persons with disabilities, as well as the critical link between social protection and independent living</w:t>
      </w:r>
      <w:r w:rsidR="0078336F">
        <w:t xml:space="preserve"> </w:t>
      </w:r>
      <w:r w:rsidR="0078336F" w:rsidRPr="00574FEC">
        <w:t>for persons with disabilities</w:t>
      </w:r>
      <w:r w:rsidR="00205F33">
        <w:t>.</w:t>
      </w:r>
      <w:r w:rsidR="00955D46">
        <w:t xml:space="preserve"> </w:t>
      </w:r>
      <w:r w:rsidR="00F31608">
        <w:t>Each day p</w:t>
      </w:r>
      <w:r w:rsidR="001273E3" w:rsidRPr="000B487C">
        <w:t>articipants engaged in breakout sessions where they</w:t>
      </w:r>
      <w:r w:rsidR="00063EE3">
        <w:t xml:space="preserve"> discussed the key topics covered, </w:t>
      </w:r>
      <w:r w:rsidR="005F58BB" w:rsidRPr="00D81726">
        <w:t>review</w:t>
      </w:r>
      <w:r w:rsidR="005F58BB">
        <w:t>ed</w:t>
      </w:r>
      <w:r w:rsidR="005F58BB" w:rsidRPr="00D81726">
        <w:t xml:space="preserve"> previous commitments made by stakeholders at the GDS</w:t>
      </w:r>
      <w:r w:rsidR="003A33F4">
        <w:t>,</w:t>
      </w:r>
      <w:r w:rsidR="003E1F6E">
        <w:t xml:space="preserve"> and </w:t>
      </w:r>
      <w:r w:rsidR="00E77FA2">
        <w:t xml:space="preserve">identified critical issues and gaps </w:t>
      </w:r>
      <w:r w:rsidR="003E1F6E">
        <w:t xml:space="preserve">in </w:t>
      </w:r>
      <w:r w:rsidR="00433502">
        <w:t xml:space="preserve">Jordan’s </w:t>
      </w:r>
      <w:r w:rsidR="003E1F6E">
        <w:t xml:space="preserve">current social protection </w:t>
      </w:r>
      <w:r w:rsidR="00433502">
        <w:t>framework.</w:t>
      </w:r>
      <w:r w:rsidR="00263F95">
        <w:t xml:space="preserve"> </w:t>
      </w:r>
      <w:r w:rsidR="00123CDF" w:rsidRPr="00123CDF">
        <w:t xml:space="preserve">Ultimately, they shared their </w:t>
      </w:r>
      <w:r w:rsidR="00123CDF">
        <w:t>reflections</w:t>
      </w:r>
      <w:r w:rsidR="00123CDF" w:rsidRPr="00123CDF">
        <w:t xml:space="preserve"> and made recommendations for future government actions to uphold the rights </w:t>
      </w:r>
      <w:r w:rsidR="00E94905">
        <w:t xml:space="preserve">and address the needs </w:t>
      </w:r>
      <w:r w:rsidR="00123CDF" w:rsidRPr="00123CDF">
        <w:t xml:space="preserve">of persons with disabilities </w:t>
      </w:r>
      <w:r w:rsidR="00E94905">
        <w:t xml:space="preserve">through </w:t>
      </w:r>
      <w:r w:rsidR="00123CDF" w:rsidRPr="00123CDF">
        <w:t>improve</w:t>
      </w:r>
      <w:r w:rsidR="00E94905">
        <w:t>d</w:t>
      </w:r>
      <w:r w:rsidR="00123CDF" w:rsidRPr="00123CDF">
        <w:t xml:space="preserve"> access to </w:t>
      </w:r>
      <w:r w:rsidR="005340DA">
        <w:t xml:space="preserve">adequate </w:t>
      </w:r>
      <w:r w:rsidR="00123CDF" w:rsidRPr="00123CDF">
        <w:t xml:space="preserve">social security and </w:t>
      </w:r>
      <w:r w:rsidR="005340DA">
        <w:t xml:space="preserve">quality </w:t>
      </w:r>
      <w:r w:rsidR="00E94905">
        <w:t xml:space="preserve">social </w:t>
      </w:r>
      <w:r w:rsidR="00123CDF" w:rsidRPr="00123CDF">
        <w:t>services</w:t>
      </w:r>
      <w:r w:rsidR="00E94905">
        <w:t>.</w:t>
      </w:r>
    </w:p>
    <w:p w14:paraId="57FFAD3D" w14:textId="5096669B" w:rsidR="00BE24CC" w:rsidRDefault="00BE24CC" w:rsidP="00BE24CC">
      <w:pPr>
        <w:jc w:val="both"/>
      </w:pPr>
      <w:r w:rsidRPr="004D07F4">
        <w:t xml:space="preserve">These proposals will inform Jordan’s commitments at the GDS, which will be further refined and validated at a Regional Disability </w:t>
      </w:r>
      <w:r w:rsidR="005F1A93">
        <w:t>Pre-</w:t>
      </w:r>
      <w:r w:rsidRPr="004D07F4">
        <w:t>Summit in Jordan in November 2024. The outcomes of these consultations will contribute to shaping the disability-inclusive social protection agenda that will be presented at the 2025 GDS, underscoring the importance of national ownership and collaboration in driving change.</w:t>
      </w:r>
    </w:p>
    <w:p w14:paraId="1A920027" w14:textId="242EEBFE" w:rsidR="00377819" w:rsidRDefault="009A3C6F" w:rsidP="00EA4A19">
      <w:pPr>
        <w:pStyle w:val="Heading1"/>
        <w:ind w:left="0"/>
        <w:jc w:val="both"/>
      </w:pPr>
      <w:r w:rsidRPr="00AC3D35">
        <w:t xml:space="preserve">Summary of </w:t>
      </w:r>
      <w:r w:rsidR="005F1A93">
        <w:t>R</w:t>
      </w:r>
      <w:r w:rsidRPr="00AC3D35">
        <w:t>ecommendations</w:t>
      </w:r>
      <w:r w:rsidR="004D15D0" w:rsidRPr="00AC3D35">
        <w:t xml:space="preserve"> </w:t>
      </w:r>
    </w:p>
    <w:p w14:paraId="3B84EFFE" w14:textId="0639BBC9" w:rsidR="00882EEC" w:rsidRPr="00882EEC" w:rsidRDefault="00882EEC" w:rsidP="00316BE1">
      <w:pPr>
        <w:jc w:val="both"/>
      </w:pPr>
      <w:r>
        <w:t>This brief summarises the key recommendations put forth by participants at the two national consultations.</w:t>
      </w:r>
    </w:p>
    <w:p w14:paraId="36791A40" w14:textId="0E08B269" w:rsidR="002A1928" w:rsidRDefault="002A1928" w:rsidP="002A1928">
      <w:pPr>
        <w:pStyle w:val="Heading2"/>
      </w:pPr>
      <w:r>
        <w:t xml:space="preserve">Social </w:t>
      </w:r>
      <w:r w:rsidR="005F1A93">
        <w:t>S</w:t>
      </w:r>
      <w:r w:rsidRPr="00AC3D35">
        <w:t>ecurity</w:t>
      </w:r>
      <w:r w:rsidR="00735504">
        <w:t xml:space="preserve"> Recommendations</w:t>
      </w:r>
    </w:p>
    <w:p w14:paraId="0E6772A0" w14:textId="77777777" w:rsidR="00E147B3" w:rsidRDefault="00E147B3" w:rsidP="00E147B3">
      <w:pPr>
        <w:pStyle w:val="ListParagraph"/>
        <w:numPr>
          <w:ilvl w:val="0"/>
          <w:numId w:val="42"/>
        </w:numPr>
        <w:jc w:val="both"/>
        <w:rPr>
          <w:rFonts w:eastAsia="Calibri"/>
          <w:b/>
          <w:bCs/>
        </w:rPr>
      </w:pPr>
      <w:r w:rsidRPr="001A3721">
        <w:rPr>
          <w:b/>
          <w:bCs/>
          <w:color w:val="4C0053"/>
        </w:rPr>
        <w:t>Recommendation 1</w:t>
      </w:r>
      <w:r w:rsidRPr="001A3721">
        <w:rPr>
          <w:color w:val="4C0053"/>
        </w:rPr>
        <w:t>:</w:t>
      </w:r>
      <w:r w:rsidRPr="384DAF6C">
        <w:t xml:space="preserve"> Establish a basic disability benefit</w:t>
      </w:r>
      <w:r>
        <w:t xml:space="preserve"> (for children and adults) and an old-age pension</w:t>
      </w:r>
      <w:r w:rsidRPr="384DAF6C">
        <w:t>, funded through general taxation. As a first step, the Government could introduce a tax-financed old-age pension to cover all individuals of retirement age who are currently without a pension addressing a critical gap</w:t>
      </w:r>
      <w:r>
        <w:t xml:space="preserve"> as the risk of disability increases in old age</w:t>
      </w:r>
      <w:r w:rsidRPr="384DAF6C">
        <w:t xml:space="preserve">. </w:t>
      </w:r>
    </w:p>
    <w:p w14:paraId="31A52F47" w14:textId="77777777" w:rsidR="00E147B3" w:rsidRDefault="00E147B3" w:rsidP="00E147B3">
      <w:pPr>
        <w:pStyle w:val="ListParagraph"/>
        <w:numPr>
          <w:ilvl w:val="0"/>
          <w:numId w:val="42"/>
        </w:numPr>
        <w:jc w:val="both"/>
      </w:pPr>
      <w:r w:rsidRPr="001A3721">
        <w:rPr>
          <w:b/>
          <w:bCs/>
          <w:color w:val="4C0053"/>
        </w:rPr>
        <w:lastRenderedPageBreak/>
        <w:t>Recommendation 2:</w:t>
      </w:r>
      <w:r w:rsidRPr="001A3721">
        <w:rPr>
          <w:color w:val="4C0053"/>
        </w:rPr>
        <w:t xml:space="preserve"> </w:t>
      </w:r>
      <w:r>
        <w:t xml:space="preserve">Increase investment in education and training for persons with disabilities to create a more equitable pathway to employment opportunities. Ensuring that persons with disabilities have access to quality education and skills training will help them compete on a more equal footing in the job market. Additionally, creating more accessible and inclusive job opportunities will support their independence by enabling them to earn a stable income, reducing reliance on family support and social assistance, and fostering their participation in the economy. </w:t>
      </w:r>
    </w:p>
    <w:p w14:paraId="291397C0" w14:textId="77777777" w:rsidR="00E147B3" w:rsidRDefault="00E147B3" w:rsidP="00E147B3">
      <w:pPr>
        <w:pStyle w:val="ListParagraph"/>
        <w:numPr>
          <w:ilvl w:val="0"/>
          <w:numId w:val="42"/>
        </w:numPr>
        <w:jc w:val="both"/>
      </w:pPr>
      <w:r w:rsidRPr="001A3721">
        <w:rPr>
          <w:b/>
          <w:bCs/>
          <w:color w:val="4C0053"/>
        </w:rPr>
        <w:t>Recommendation 3</w:t>
      </w:r>
      <w:r w:rsidRPr="001A3721">
        <w:rPr>
          <w:color w:val="4C0053"/>
        </w:rPr>
        <w:t xml:space="preserve">: </w:t>
      </w:r>
      <w:r>
        <w:t>Expand and activate health insurance provisions for persons with disabilities. There is a strong call to ensure that health insurance regulations, such as those outlined in the 2023 Civil Health Insurance Bylaw, are fully implemented and that existing health insurance provisions within the SSC are activated. This would help address the specific medical needs of insured persons with disabilities, including access to essential medications, rehabilitation services and other disability-related health care costs that are often not covered under general health insurance plans.</w:t>
      </w:r>
    </w:p>
    <w:p w14:paraId="79B4CBDD" w14:textId="77777777" w:rsidR="00001942" w:rsidRDefault="00001942" w:rsidP="00001942">
      <w:pPr>
        <w:pStyle w:val="ListParagraph"/>
        <w:numPr>
          <w:ilvl w:val="0"/>
          <w:numId w:val="4"/>
        </w:numPr>
        <w:jc w:val="both"/>
      </w:pPr>
      <w:r w:rsidRPr="001A3721">
        <w:rPr>
          <w:b/>
          <w:bCs/>
          <w:color w:val="4C0053"/>
        </w:rPr>
        <w:t>Recommendation 4</w:t>
      </w:r>
      <w:r w:rsidRPr="001A3721">
        <w:rPr>
          <w:color w:val="4C0053"/>
        </w:rPr>
        <w:t xml:space="preserve">: </w:t>
      </w:r>
      <w:r>
        <w:t xml:space="preserve">To increase awareness and clarify definitions associated with disability, it was recommended that the government should conduct a thorough review and update of its social security legislation, incorporating accurate and comprehensive definitions of disability (in line with the CRPD) and clarifying available benefits and eligibility criteria. Legislation and administrative instructions should be written in clear, accessible language to ensure that persons with disabilities can easily understand their rights and the process for claiming support. Additionally, it is essential to develop accessible informational materials that explain the benefits and processes, providing clear guidance for persons with disabilities and other relevant groups on how to access these schemes. </w:t>
      </w:r>
    </w:p>
    <w:p w14:paraId="27FDE309" w14:textId="77777777" w:rsidR="00001942" w:rsidRPr="006F653C" w:rsidRDefault="00001942" w:rsidP="00001942">
      <w:pPr>
        <w:pStyle w:val="ListParagraph"/>
        <w:numPr>
          <w:ilvl w:val="0"/>
          <w:numId w:val="4"/>
        </w:numPr>
        <w:jc w:val="both"/>
      </w:pPr>
      <w:r w:rsidRPr="001A3721">
        <w:rPr>
          <w:b/>
          <w:bCs/>
          <w:color w:val="4C0053"/>
        </w:rPr>
        <w:t>Recommendation 5</w:t>
      </w:r>
      <w:r w:rsidRPr="001A3721">
        <w:rPr>
          <w:color w:val="4C0053"/>
        </w:rPr>
        <w:t xml:space="preserve">: </w:t>
      </w:r>
      <w:r>
        <w:t>To create lasting change, participants recommended a national awareness campaign should be launched to educate the public, persons with disabilities, their families and the general public as well as SSC staff about social security provisions, disability rights and accessible services. This campaign should involve partnerships across government ministries and with private sector actors, promoting a more inclusive understanding of disability. By increasing awareness and addressing misconceptions, this initiative could help build support for a social security system that better reflects the rights and needs of persons with disabilities and ensures that more individuals can access the support they deserve and</w:t>
      </w:r>
      <w:r w:rsidRPr="00AC3D35">
        <w:t xml:space="preserve"> </w:t>
      </w:r>
      <w:r>
        <w:t xml:space="preserve">have the right to. </w:t>
      </w:r>
    </w:p>
    <w:p w14:paraId="74799CB7" w14:textId="77777777" w:rsidR="008423EF" w:rsidRDefault="008423EF" w:rsidP="008423EF">
      <w:pPr>
        <w:pStyle w:val="ListParagraph"/>
        <w:numPr>
          <w:ilvl w:val="0"/>
          <w:numId w:val="4"/>
        </w:numPr>
        <w:jc w:val="both"/>
      </w:pPr>
      <w:r w:rsidRPr="001A3721">
        <w:rPr>
          <w:b/>
          <w:bCs/>
          <w:color w:val="4C0053"/>
        </w:rPr>
        <w:t>Recommendation 6</w:t>
      </w:r>
      <w:r w:rsidRPr="001A3721">
        <w:rPr>
          <w:color w:val="4C0053"/>
        </w:rPr>
        <w:t xml:space="preserve">: </w:t>
      </w:r>
      <w:r>
        <w:t xml:space="preserve">MoSD should enhance its monitoring and evaluation (M&amp;E) practices to ensure that assistance is reaching those who truly qualify, and to understand how misconceptions may be affecting programme access and impact. Improved, transparent M&amp;E could also provide valuable data on how many recipients remain unemployed due to fears of losing benefits, enabling the MoSD to consider adjustments that better align with recipients’ needs. </w:t>
      </w:r>
    </w:p>
    <w:p w14:paraId="787E0B7E" w14:textId="77777777" w:rsidR="008423EF" w:rsidRDefault="008423EF" w:rsidP="008423EF">
      <w:pPr>
        <w:pStyle w:val="ListParagraph"/>
        <w:numPr>
          <w:ilvl w:val="0"/>
          <w:numId w:val="4"/>
        </w:numPr>
        <w:jc w:val="both"/>
      </w:pPr>
      <w:r w:rsidRPr="001A3721">
        <w:rPr>
          <w:b/>
          <w:bCs/>
          <w:color w:val="4C0053"/>
        </w:rPr>
        <w:t>Recommendation 7:</w:t>
      </w:r>
      <w:r w:rsidRPr="001A3721">
        <w:rPr>
          <w:color w:val="4C0053"/>
        </w:rPr>
        <w:t xml:space="preserve"> </w:t>
      </w:r>
      <w:r>
        <w:t>The MoSD should develop accessible, user-friendly informational materials that clearly explain the NAF benefits, eligibility requirements and the conditions under which recipients may retain support while transitioning to employment. These materials should address common misconceptions and provide accurate guidance for persons with disabilities and other eligible groups. By dispelling misunderstandings and promoting transparency, the MoSD can help people make better-informed choices about work and support options without undue fear of losing assistance.</w:t>
      </w:r>
    </w:p>
    <w:p w14:paraId="46310D3C" w14:textId="37641F5C" w:rsidR="002A1928" w:rsidRPr="002A1928" w:rsidRDefault="002A1928" w:rsidP="0059186A">
      <w:pPr>
        <w:pStyle w:val="Heading2"/>
        <w:jc w:val="both"/>
      </w:pPr>
      <w:r>
        <w:t xml:space="preserve">Social </w:t>
      </w:r>
      <w:r w:rsidR="00F40736">
        <w:t>S</w:t>
      </w:r>
      <w:r w:rsidRPr="00AC3D35">
        <w:t>ervices</w:t>
      </w:r>
      <w:r w:rsidR="00735504">
        <w:t xml:space="preserve"> Recommendations</w:t>
      </w:r>
    </w:p>
    <w:p w14:paraId="19231B7E" w14:textId="5A3C9148" w:rsidR="009A3C6F" w:rsidRPr="009A3C6F" w:rsidRDefault="0DAEDE63" w:rsidP="0059186A">
      <w:pPr>
        <w:jc w:val="both"/>
      </w:pPr>
      <w:r>
        <w:t xml:space="preserve">The following recommendations are focused on </w:t>
      </w:r>
      <w:r w:rsidRPr="384DAF6C">
        <w:rPr>
          <w:b/>
          <w:bCs/>
        </w:rPr>
        <w:t>three</w:t>
      </w:r>
      <w:r>
        <w:t xml:space="preserve"> areas of </w:t>
      </w:r>
      <w:r w:rsidRPr="384DAF6C">
        <w:rPr>
          <w:b/>
          <w:bCs/>
        </w:rPr>
        <w:t>social services</w:t>
      </w:r>
      <w:r>
        <w:t xml:space="preserve">: </w:t>
      </w:r>
      <w:r w:rsidR="36ED35F5" w:rsidRPr="384DAF6C">
        <w:rPr>
          <w:b/>
          <w:bCs/>
        </w:rPr>
        <w:t>health services, independent living</w:t>
      </w:r>
      <w:r w:rsidR="36ED35F5">
        <w:t xml:space="preserve"> and </w:t>
      </w:r>
      <w:r w:rsidR="36ED35F5" w:rsidRPr="384DAF6C">
        <w:rPr>
          <w:b/>
          <w:bCs/>
        </w:rPr>
        <w:t>preventing and addressing gender-based violence:</w:t>
      </w:r>
      <w:r w:rsidR="36ED35F5">
        <w:t xml:space="preserve"> </w:t>
      </w:r>
    </w:p>
    <w:p w14:paraId="485941B8" w14:textId="5CC3270D" w:rsidR="00401250" w:rsidRPr="003305D0" w:rsidRDefault="00C02C36" w:rsidP="0059186A">
      <w:pPr>
        <w:pStyle w:val="Heading3"/>
        <w:jc w:val="both"/>
      </w:pPr>
      <w:r>
        <w:lastRenderedPageBreak/>
        <w:t>H</w:t>
      </w:r>
      <w:r w:rsidR="36ED35F5" w:rsidRPr="00AC3D35">
        <w:t xml:space="preserve">ealth </w:t>
      </w:r>
      <w:r>
        <w:t>S</w:t>
      </w:r>
      <w:r w:rsidR="36ED35F5" w:rsidRPr="00AC3D35">
        <w:t>ervices</w:t>
      </w:r>
    </w:p>
    <w:p w14:paraId="0621FB0B" w14:textId="77777777" w:rsidR="00593FB7" w:rsidRDefault="00593FB7" w:rsidP="00593FB7">
      <w:pPr>
        <w:pStyle w:val="ListParagraph"/>
        <w:numPr>
          <w:ilvl w:val="0"/>
          <w:numId w:val="3"/>
        </w:numPr>
        <w:jc w:val="both"/>
      </w:pPr>
      <w:r w:rsidRPr="001A3721">
        <w:rPr>
          <w:b/>
          <w:bCs/>
          <w:color w:val="4C0053"/>
        </w:rPr>
        <w:t>Recommendation 1</w:t>
      </w:r>
      <w:r w:rsidRPr="001A3721">
        <w:rPr>
          <w:color w:val="4C0053"/>
        </w:rPr>
        <w:t xml:space="preserve">: </w:t>
      </w:r>
      <w:r>
        <w:t xml:space="preserve">Develop dedicated centres within accessible health facilities across Jordan that offer services like speech therapy, occupational therapy and mental health support. These should be implemented with the cooperation of the Ministry of Health, the HCD and international partners like the World Health Organization (WHO). </w:t>
      </w:r>
    </w:p>
    <w:p w14:paraId="60A89416" w14:textId="77777777" w:rsidR="00593FB7" w:rsidRDefault="00593FB7" w:rsidP="00593FB7">
      <w:pPr>
        <w:pStyle w:val="ListParagraph"/>
        <w:numPr>
          <w:ilvl w:val="0"/>
          <w:numId w:val="3"/>
        </w:numPr>
        <w:jc w:val="both"/>
      </w:pPr>
      <w:r w:rsidRPr="001A3721">
        <w:rPr>
          <w:b/>
          <w:bCs/>
          <w:color w:val="4C0053"/>
        </w:rPr>
        <w:t>Recommendation 2</w:t>
      </w:r>
      <w:r w:rsidRPr="001A3721">
        <w:rPr>
          <w:color w:val="4C0053"/>
        </w:rPr>
        <w:t xml:space="preserve">: </w:t>
      </w:r>
      <w:r>
        <w:t xml:space="preserve">Encourage health insurance providers to cover disability-related mental health services, particularly in underserved regions, to ensure that persons with disabilities can access holistic care. </w:t>
      </w:r>
    </w:p>
    <w:p w14:paraId="3E45E795" w14:textId="77777777" w:rsidR="00593FB7" w:rsidRDefault="00593FB7" w:rsidP="00593FB7">
      <w:pPr>
        <w:pStyle w:val="ListParagraph"/>
        <w:numPr>
          <w:ilvl w:val="0"/>
          <w:numId w:val="3"/>
        </w:numPr>
        <w:jc w:val="both"/>
      </w:pPr>
      <w:r w:rsidRPr="001A3721">
        <w:rPr>
          <w:b/>
          <w:bCs/>
          <w:color w:val="4C0053"/>
        </w:rPr>
        <w:t>Recommendation 3</w:t>
      </w:r>
      <w:r w:rsidRPr="001A3721">
        <w:rPr>
          <w:color w:val="4C0053"/>
        </w:rPr>
        <w:t xml:space="preserve">: </w:t>
      </w:r>
      <w:r>
        <w:t xml:space="preserve">Implement mandatory disability inclusion training for all health care professionals, ensuring that they are equipped to provide appropriate care to individuals with diverse disabilities. </w:t>
      </w:r>
    </w:p>
    <w:p w14:paraId="1AD225EF" w14:textId="77777777" w:rsidR="00593FB7" w:rsidRDefault="00593FB7" w:rsidP="00593FB7">
      <w:pPr>
        <w:pStyle w:val="ListParagraph"/>
        <w:numPr>
          <w:ilvl w:val="0"/>
          <w:numId w:val="3"/>
        </w:numPr>
        <w:jc w:val="both"/>
      </w:pPr>
      <w:r w:rsidRPr="001A3721">
        <w:rPr>
          <w:b/>
          <w:bCs/>
          <w:color w:val="4C0053"/>
        </w:rPr>
        <w:t>Recommendation 4</w:t>
      </w:r>
      <w:r w:rsidRPr="001A3721">
        <w:rPr>
          <w:color w:val="4C0053"/>
        </w:rPr>
        <w:t xml:space="preserve">: </w:t>
      </w:r>
      <w:r>
        <w:t>By 2028, ensure that all health centres across the country are accessible to persons with diverse disabilities, including the installation of ramps, accessible toilets and providing necessary assistive devices, medical equipment and health care information in accessible formats.</w:t>
      </w:r>
    </w:p>
    <w:p w14:paraId="21D68A32" w14:textId="45BE160F" w:rsidR="36ED35F5" w:rsidRDefault="36ED35F5" w:rsidP="0059186A">
      <w:pPr>
        <w:pStyle w:val="Heading3"/>
        <w:jc w:val="both"/>
      </w:pPr>
      <w:r>
        <w:t>Independent Living</w:t>
      </w:r>
    </w:p>
    <w:p w14:paraId="6F67623A" w14:textId="77777777" w:rsidR="009C16F4" w:rsidRDefault="009C16F4" w:rsidP="009C16F4">
      <w:pPr>
        <w:pStyle w:val="ListParagraph"/>
        <w:numPr>
          <w:ilvl w:val="0"/>
          <w:numId w:val="2"/>
        </w:numPr>
        <w:jc w:val="both"/>
      </w:pPr>
      <w:r w:rsidRPr="001A3721">
        <w:rPr>
          <w:b/>
          <w:bCs/>
          <w:color w:val="4C0053"/>
        </w:rPr>
        <w:t>Recommendation 5</w:t>
      </w:r>
      <w:r w:rsidRPr="001A3721">
        <w:rPr>
          <w:color w:val="4C0053"/>
        </w:rPr>
        <w:t xml:space="preserve">: </w:t>
      </w:r>
      <w:r>
        <w:t xml:space="preserve">Initiate nationwide campaigns to raise awareness about the right of persons with disabilities to live independently and the benefits of community-based care. These campaigns should target families, communities and service providers to encourage their support for independent living initiatives. </w:t>
      </w:r>
    </w:p>
    <w:p w14:paraId="6C303DEF" w14:textId="77777777" w:rsidR="009C16F4" w:rsidRDefault="009C16F4" w:rsidP="009C16F4">
      <w:pPr>
        <w:pStyle w:val="ListParagraph"/>
        <w:numPr>
          <w:ilvl w:val="0"/>
          <w:numId w:val="2"/>
        </w:numPr>
        <w:jc w:val="both"/>
      </w:pPr>
      <w:r w:rsidRPr="001A3721">
        <w:rPr>
          <w:b/>
          <w:bCs/>
          <w:color w:val="4C0053"/>
        </w:rPr>
        <w:t>Recommendation 6</w:t>
      </w:r>
      <w:r w:rsidRPr="001A3721">
        <w:rPr>
          <w:color w:val="4C0053"/>
        </w:rPr>
        <w:t xml:space="preserve">: </w:t>
      </w:r>
      <w:r>
        <w:t xml:space="preserve">Increase the number of inclusive day centres that provide rehabilitation, social and educational support services to persons with disabilities. The number of these centres should be expanded to 41 by 2027, ensuring that they are accessible and equipped to meet the needs of all individuals. </w:t>
      </w:r>
    </w:p>
    <w:p w14:paraId="11C4E533" w14:textId="77777777" w:rsidR="009C16F4" w:rsidRDefault="009C16F4" w:rsidP="009C16F4">
      <w:pPr>
        <w:pStyle w:val="ListParagraph"/>
        <w:numPr>
          <w:ilvl w:val="0"/>
          <w:numId w:val="2"/>
        </w:numPr>
        <w:jc w:val="both"/>
      </w:pPr>
      <w:r w:rsidRPr="001A3721">
        <w:rPr>
          <w:b/>
          <w:bCs/>
          <w:color w:val="4C0053"/>
        </w:rPr>
        <w:t>Recommendation 7:</w:t>
      </w:r>
      <w:r w:rsidRPr="001A3721">
        <w:rPr>
          <w:color w:val="4C0053"/>
        </w:rPr>
        <w:t xml:space="preserve"> </w:t>
      </w:r>
      <w:r>
        <w:t xml:space="preserve">Set up mobile units that can visit remote areas to provide early intervention services, support families in the De-I process and offer guidance on transitioning individuals from institutional care to community living. </w:t>
      </w:r>
    </w:p>
    <w:p w14:paraId="4999943E" w14:textId="77777777" w:rsidR="009C16F4" w:rsidRDefault="009C16F4" w:rsidP="009C16F4">
      <w:pPr>
        <w:pStyle w:val="ListParagraph"/>
        <w:numPr>
          <w:ilvl w:val="0"/>
          <w:numId w:val="2"/>
        </w:numPr>
        <w:jc w:val="both"/>
      </w:pPr>
      <w:r w:rsidRPr="001A3721">
        <w:rPr>
          <w:b/>
          <w:bCs/>
          <w:color w:val="4C0053"/>
        </w:rPr>
        <w:t>Recommendation 8</w:t>
      </w:r>
      <w:r w:rsidRPr="001A3721">
        <w:rPr>
          <w:color w:val="4C0053"/>
        </w:rPr>
        <w:t xml:space="preserve">: </w:t>
      </w:r>
      <w:r>
        <w:t>Develop a national accessibility strategy that focuses on upgrading transportation systems, public buildings and residential housing to ensure they are accessible to persons with disabilities. This includes installing wheelchair-accessible ramps in buildings and ensuring that the public transport system is accessible to persons with disabilities.</w:t>
      </w:r>
    </w:p>
    <w:p w14:paraId="14F50485" w14:textId="2861235A" w:rsidR="36ED35F5" w:rsidRDefault="00C02C36" w:rsidP="0059186A">
      <w:pPr>
        <w:pStyle w:val="Heading3"/>
        <w:jc w:val="both"/>
      </w:pPr>
      <w:r>
        <w:t>P</w:t>
      </w:r>
      <w:r w:rsidR="36ED35F5" w:rsidRPr="00AC3D35">
        <w:t>reventing</w:t>
      </w:r>
      <w:r w:rsidR="36ED35F5">
        <w:t xml:space="preserve"> and </w:t>
      </w:r>
      <w:r>
        <w:t>A</w:t>
      </w:r>
      <w:r w:rsidR="36ED35F5" w:rsidRPr="00AC3D35">
        <w:t>ddressing</w:t>
      </w:r>
      <w:r w:rsidR="36ED35F5">
        <w:t xml:space="preserve"> Gender-Based Violence</w:t>
      </w:r>
    </w:p>
    <w:p w14:paraId="3EF10E94" w14:textId="77777777" w:rsidR="00FA630C" w:rsidRDefault="00FA630C" w:rsidP="00FA630C">
      <w:pPr>
        <w:pStyle w:val="ListParagraph"/>
        <w:numPr>
          <w:ilvl w:val="0"/>
          <w:numId w:val="1"/>
        </w:numPr>
        <w:jc w:val="both"/>
      </w:pPr>
      <w:r w:rsidRPr="001A3721">
        <w:rPr>
          <w:b/>
          <w:bCs/>
          <w:color w:val="4C0053"/>
        </w:rPr>
        <w:t>Recommendation 9</w:t>
      </w:r>
      <w:r w:rsidRPr="001A3721">
        <w:rPr>
          <w:color w:val="4C0053"/>
        </w:rPr>
        <w:t xml:space="preserve">: </w:t>
      </w:r>
      <w:r>
        <w:t xml:space="preserve">Launch national campaigns to raise awareness about the prevalence of GBV among persons with disabilities, especially women and girls. These campaigns should also educate public and service providers on the specific needs of persons with disabilities who experience violence. </w:t>
      </w:r>
    </w:p>
    <w:p w14:paraId="40C90B3F" w14:textId="77777777" w:rsidR="00FA630C" w:rsidRDefault="00FA630C" w:rsidP="00FA630C">
      <w:pPr>
        <w:pStyle w:val="ListParagraph"/>
        <w:numPr>
          <w:ilvl w:val="0"/>
          <w:numId w:val="1"/>
        </w:numPr>
        <w:jc w:val="both"/>
      </w:pPr>
      <w:r w:rsidRPr="001A3721">
        <w:rPr>
          <w:b/>
          <w:bCs/>
          <w:color w:val="4C0053"/>
        </w:rPr>
        <w:t>Recommendation 10</w:t>
      </w:r>
      <w:r w:rsidRPr="001A3721">
        <w:rPr>
          <w:color w:val="4C0053"/>
        </w:rPr>
        <w:t xml:space="preserve">: </w:t>
      </w:r>
      <w:r>
        <w:t xml:space="preserve">Review and amend national GBV legislation to ensure that it offers comprehensive protections for persons with disabilities as a group at particular risk from GBV. This should include provisions for easier access to justice and specialised legal support for persons with disabilities who are victims of violence. </w:t>
      </w:r>
    </w:p>
    <w:p w14:paraId="7BC154A9" w14:textId="77777777" w:rsidR="00FA630C" w:rsidRDefault="00FA630C" w:rsidP="00FA630C">
      <w:pPr>
        <w:pStyle w:val="ListParagraph"/>
        <w:numPr>
          <w:ilvl w:val="0"/>
          <w:numId w:val="1"/>
        </w:numPr>
        <w:jc w:val="both"/>
      </w:pPr>
      <w:r w:rsidRPr="001A3721">
        <w:rPr>
          <w:b/>
          <w:bCs/>
          <w:color w:val="4C0053"/>
        </w:rPr>
        <w:t>Recommendation 11</w:t>
      </w:r>
      <w:r w:rsidRPr="001A3721">
        <w:rPr>
          <w:color w:val="4C0053"/>
        </w:rPr>
        <w:t xml:space="preserve">: </w:t>
      </w:r>
      <w:r>
        <w:t xml:space="preserve">Provide training for law enforcement, social workers and health care providers on how to handle GBV cases involving persons with disabilities. This training should focus on providing appropriate care and ensuring that survivors are not re-traumatised or further marginalised. </w:t>
      </w:r>
    </w:p>
    <w:p w14:paraId="42D9E35C" w14:textId="77777777" w:rsidR="00FA630C" w:rsidRDefault="00FA630C" w:rsidP="00FA630C">
      <w:pPr>
        <w:pStyle w:val="ListParagraph"/>
        <w:numPr>
          <w:ilvl w:val="0"/>
          <w:numId w:val="1"/>
        </w:numPr>
        <w:jc w:val="both"/>
      </w:pPr>
      <w:r w:rsidRPr="001A3721">
        <w:rPr>
          <w:b/>
          <w:bCs/>
          <w:color w:val="4C0053"/>
        </w:rPr>
        <w:t>Recommendation 12:</w:t>
      </w:r>
      <w:r w:rsidRPr="001A3721">
        <w:rPr>
          <w:color w:val="4C0053"/>
        </w:rPr>
        <w:t xml:space="preserve"> </w:t>
      </w:r>
      <w:r>
        <w:t xml:space="preserve">Create a licensing system for relevant social services professionals, including personal assistants, to ensure they are adequately trained and certified. This will </w:t>
      </w:r>
      <w:r>
        <w:lastRenderedPageBreak/>
        <w:t>help prevent abuse and ensure that social services professionals are providing safe and respectful support to individuals with disabilities.</w:t>
      </w:r>
    </w:p>
    <w:p w14:paraId="6968BBCF" w14:textId="15394E65" w:rsidR="5C530BBB" w:rsidRDefault="5C530BBB" w:rsidP="0059186A">
      <w:pPr>
        <w:pStyle w:val="Heading1"/>
        <w:jc w:val="both"/>
      </w:pPr>
      <w:r>
        <w:t>Conclusion</w:t>
      </w:r>
    </w:p>
    <w:p w14:paraId="6B4C130E" w14:textId="31960EBC" w:rsidR="19D0F1E8" w:rsidRDefault="19D0F1E8" w:rsidP="0059186A">
      <w:pPr>
        <w:jc w:val="both"/>
      </w:pPr>
      <w:r>
        <w:t xml:space="preserve">The recommendations from the </w:t>
      </w:r>
      <w:r w:rsidR="00F076DE">
        <w:t>n</w:t>
      </w:r>
      <w:r w:rsidRPr="00AC3D35">
        <w:t xml:space="preserve">ational </w:t>
      </w:r>
      <w:r w:rsidR="00F076DE">
        <w:t>c</w:t>
      </w:r>
      <w:r w:rsidRPr="00AC3D35">
        <w:t>onsultations</w:t>
      </w:r>
      <w:r>
        <w:t xml:space="preserve"> presented in this briefing note represent an initial step towards advancing disability-inclusive social protection </w:t>
      </w:r>
      <w:r w:rsidR="008A0932">
        <w:t>and associated services</w:t>
      </w:r>
      <w:r w:rsidRPr="00AC3D35">
        <w:t xml:space="preserve"> </w:t>
      </w:r>
      <w:r>
        <w:t>in Jordan through an inclusive, participatory dialogue with key stakeholders. The consultations provided a unique opportunity to review Jordan's prior commitments, engage directly with persons with disabilities and their representatives, and collectively shape recommendations that reflect the genuine needs and aspirations of the disability community.</w:t>
      </w:r>
    </w:p>
    <w:p w14:paraId="23D68C95" w14:textId="3740F0B1" w:rsidR="00533DB6" w:rsidRPr="003305D0" w:rsidRDefault="33E5CC26" w:rsidP="004032C7">
      <w:pPr>
        <w:jc w:val="both"/>
      </w:pPr>
      <w:r>
        <w:t xml:space="preserve">Jordan </w:t>
      </w:r>
      <w:r w:rsidR="007F22D1">
        <w:t>is</w:t>
      </w:r>
      <w:r>
        <w:t xml:space="preserve"> </w:t>
      </w:r>
      <w:r w:rsidR="007F22D1">
        <w:t xml:space="preserve">firmly </w:t>
      </w:r>
      <w:r>
        <w:t>committ</w:t>
      </w:r>
      <w:r w:rsidR="007F22D1">
        <w:t>ed</w:t>
      </w:r>
      <w:r>
        <w:t xml:space="preserve"> to protecting and promoting the rights of persons with disabilities through progressive policies and active participation in international cooperation, such as the GDS. The recommendations proposed at the national consultation workshops, shaped directly by persons with disabilities, have the potential to drive change toward a more disability-inclusive social protection system and will play a key role in Jordan’s upcoming dialogue at the GDS.</w:t>
      </w:r>
    </w:p>
    <w:sectPr w:rsidR="00533DB6" w:rsidRPr="003305D0" w:rsidSect="00613A44">
      <w:headerReference w:type="default" r:id="rId19"/>
      <w:footerReference w:type="first" r:id="rId2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4464E" w14:textId="77777777" w:rsidR="0032142D" w:rsidRDefault="0032142D" w:rsidP="00582803">
      <w:r>
        <w:separator/>
      </w:r>
    </w:p>
    <w:p w14:paraId="0AEA2702" w14:textId="77777777" w:rsidR="0032142D" w:rsidRDefault="0032142D" w:rsidP="00582803"/>
    <w:p w14:paraId="53E73731" w14:textId="77777777" w:rsidR="0032142D" w:rsidRDefault="0032142D" w:rsidP="00582803"/>
  </w:endnote>
  <w:endnote w:type="continuationSeparator" w:id="0">
    <w:p w14:paraId="0D090B36" w14:textId="77777777" w:rsidR="0032142D" w:rsidRDefault="0032142D" w:rsidP="00582803">
      <w:r>
        <w:continuationSeparator/>
      </w:r>
    </w:p>
    <w:p w14:paraId="2EFFD40F" w14:textId="77777777" w:rsidR="0032142D" w:rsidRDefault="0032142D" w:rsidP="00582803"/>
    <w:p w14:paraId="27771B31" w14:textId="77777777" w:rsidR="0032142D" w:rsidRDefault="0032142D" w:rsidP="00582803"/>
  </w:endnote>
  <w:endnote w:type="continuationNotice" w:id="1">
    <w:p w14:paraId="7F7C9909" w14:textId="77777777" w:rsidR="0032142D" w:rsidRDefault="0032142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7BBF6" w14:textId="77777777" w:rsidR="00152F86" w:rsidRDefault="00152F86" w:rsidP="00355D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EE28BFA" w14:textId="77777777" w:rsidR="00152F86" w:rsidRDefault="00152F86" w:rsidP="00152F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551241"/>
      <w:docPartObj>
        <w:docPartGallery w:val="Page Numbers (Bottom of Page)"/>
        <w:docPartUnique/>
      </w:docPartObj>
    </w:sdtPr>
    <w:sdtEndPr>
      <w:rPr>
        <w:rStyle w:val="PageNumber"/>
      </w:rPr>
    </w:sdtEndPr>
    <w:sdtContent>
      <w:p w14:paraId="10C467C2" w14:textId="77777777" w:rsidR="00152F86" w:rsidRDefault="00152F86" w:rsidP="00355D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9CD3BAA" w14:textId="77777777" w:rsidR="00152F86" w:rsidRDefault="00152F86" w:rsidP="00152F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6516A9A7" w14:textId="77777777" w:rsidTr="59C7AD5E">
      <w:trPr>
        <w:trHeight w:val="300"/>
      </w:trPr>
      <w:tc>
        <w:tcPr>
          <w:tcW w:w="3005" w:type="dxa"/>
        </w:tcPr>
        <w:p w14:paraId="3628ECD6" w14:textId="3677F9CB" w:rsidR="59C7AD5E" w:rsidRDefault="59C7AD5E" w:rsidP="59C7AD5E">
          <w:pPr>
            <w:pStyle w:val="Header"/>
            <w:ind w:left="-115"/>
          </w:pPr>
        </w:p>
      </w:tc>
      <w:tc>
        <w:tcPr>
          <w:tcW w:w="3005" w:type="dxa"/>
        </w:tcPr>
        <w:p w14:paraId="42CCB9E8" w14:textId="2F954DDC" w:rsidR="59C7AD5E" w:rsidRDefault="59C7AD5E" w:rsidP="59C7AD5E">
          <w:pPr>
            <w:pStyle w:val="Header"/>
            <w:jc w:val="center"/>
          </w:pPr>
        </w:p>
      </w:tc>
      <w:tc>
        <w:tcPr>
          <w:tcW w:w="3005" w:type="dxa"/>
        </w:tcPr>
        <w:p w14:paraId="2DD6D49E" w14:textId="646D8B0A" w:rsidR="59C7AD5E" w:rsidRDefault="59C7AD5E" w:rsidP="59C7AD5E">
          <w:pPr>
            <w:pStyle w:val="Header"/>
            <w:ind w:right="-115"/>
            <w:jc w:val="right"/>
          </w:pPr>
        </w:p>
      </w:tc>
    </w:tr>
  </w:tbl>
  <w:p w14:paraId="7808D3A4" w14:textId="4E28FBF1" w:rsidR="001C3B7C" w:rsidRDefault="001C3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A872D" w14:textId="77777777" w:rsidR="0032142D" w:rsidRDefault="0032142D" w:rsidP="00582803">
      <w:r>
        <w:separator/>
      </w:r>
    </w:p>
  </w:footnote>
  <w:footnote w:type="continuationSeparator" w:id="0">
    <w:p w14:paraId="6D91E1FF" w14:textId="77777777" w:rsidR="0032142D" w:rsidRDefault="0032142D" w:rsidP="00582803">
      <w:r>
        <w:continuationSeparator/>
      </w:r>
    </w:p>
    <w:p w14:paraId="1097E24F" w14:textId="77777777" w:rsidR="0032142D" w:rsidRDefault="0032142D" w:rsidP="00582803"/>
    <w:p w14:paraId="2DD1AF1E" w14:textId="77777777" w:rsidR="0032142D" w:rsidRDefault="0032142D" w:rsidP="00582803"/>
  </w:footnote>
  <w:footnote w:type="continuationNotice" w:id="1">
    <w:p w14:paraId="585F113E" w14:textId="77777777" w:rsidR="0032142D" w:rsidRDefault="0032142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0C856" w14:textId="77777777" w:rsidR="00D21374" w:rsidRPr="00433B97" w:rsidRDefault="00D21374" w:rsidP="00582803">
    <w:pPr>
      <w:pStyle w:val="Header"/>
    </w:pPr>
    <w:r w:rsidRPr="00433B97">
      <w:rPr>
        <w:noProof/>
      </w:rPr>
      <mc:AlternateContent>
        <mc:Choice Requires="wps">
          <w:drawing>
            <wp:anchor distT="0" distB="0" distL="114300" distR="114300" simplePos="0" relativeHeight="251658241" behindDoc="0" locked="0" layoutInCell="1" allowOverlap="1" wp14:anchorId="29997AFC" wp14:editId="4B69A1FF">
              <wp:simplePos x="0" y="0"/>
              <wp:positionH relativeFrom="margin">
                <wp:posOffset>-909955</wp:posOffset>
              </wp:positionH>
              <wp:positionV relativeFrom="margin">
                <wp:posOffset>-1009650</wp:posOffset>
              </wp:positionV>
              <wp:extent cx="360000" cy="900000"/>
              <wp:effectExtent l="0" t="0" r="0" b="1905"/>
              <wp:wrapNone/>
              <wp:docPr id="1" name="Rectangle 1"/>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1" style="position:absolute;margin-left:-71.65pt;margin-top:-79.5pt;width:28.35pt;height:70.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be9a41 [3205]" stroked="f" strokeweight="1pt" w14:anchorId="03882C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">
              <w10:wrap anchorx="margin" anchory="margin"/>
            </v:rect>
          </w:pict>
        </mc:Fallback>
      </mc:AlternateConten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46D1" w14:textId="51985BA5" w:rsidR="002F0BBF" w:rsidRDefault="005539EA" w:rsidP="00F67B3F">
    <w:pPr>
      <w:pStyle w:val="Header"/>
      <w:jc w:val="center"/>
    </w:pPr>
    <w:r>
      <w:rPr>
        <w:noProof/>
      </w:rPr>
      <w:drawing>
        <wp:inline distT="0" distB="0" distL="0" distR="0" wp14:anchorId="5D00B643" wp14:editId="7F5D02B3">
          <wp:extent cx="3525202" cy="1236742"/>
          <wp:effectExtent l="0" t="0" r="0" b="0"/>
          <wp:docPr id="4302376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376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3615" cy="1271268"/>
                  </a:xfrm>
                  <a:prstGeom prst="rect">
                    <a:avLst/>
                  </a:prstGeom>
                </pic:spPr>
              </pic:pic>
            </a:graphicData>
          </a:graphic>
        </wp:inline>
      </w:drawing>
    </w:r>
  </w:p>
  <w:p w14:paraId="245E9282" w14:textId="77777777" w:rsidR="003930A4" w:rsidRDefault="003930A4" w:rsidP="00F67B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3AEE9" w14:textId="4817CAC2" w:rsidR="004767DF" w:rsidRPr="00680C59" w:rsidRDefault="00AB6066" w:rsidP="00582803">
    <w:pPr>
      <w:pStyle w:val="Header"/>
      <w:rPr>
        <w:color w:val="4C0053" w:themeColor="accent1"/>
      </w:rPr>
    </w:pPr>
    <w:r w:rsidRPr="00AB6066">
      <w:rPr>
        <w:color w:val="4C0053" w:themeColor="accent1"/>
      </w:rPr>
      <w:t>2024 Jordanian National Consultations on Disability-Inclusive Social Protection</w:t>
    </w:r>
    <w:r w:rsidR="006C3864">
      <w:rPr>
        <w:color w:val="4C0053" w:themeColor="accent1"/>
      </w:rPr>
      <w:t xml:space="preserve">: </w:t>
    </w:r>
    <w:r w:rsidR="004767DF" w:rsidRPr="00680C59">
      <w:rPr>
        <w:noProof/>
        <w:color w:val="4C0053" w:themeColor="accent1"/>
      </w:rPr>
      <mc:AlternateContent>
        <mc:Choice Requires="wps">
          <w:drawing>
            <wp:anchor distT="0" distB="0" distL="114300" distR="114300" simplePos="0" relativeHeight="251658240" behindDoc="0" locked="0" layoutInCell="1" allowOverlap="1" wp14:anchorId="3E7B06B7" wp14:editId="74E21C1F">
              <wp:simplePos x="0" y="0"/>
              <wp:positionH relativeFrom="margin">
                <wp:posOffset>-912495</wp:posOffset>
              </wp:positionH>
              <wp:positionV relativeFrom="paragraph">
                <wp:posOffset>-445135</wp:posOffset>
              </wp:positionV>
              <wp:extent cx="360000" cy="900000"/>
              <wp:effectExtent l="0" t="0" r="0" b="1905"/>
              <wp:wrapNone/>
              <wp:docPr id="27" name="Rectangle 27"/>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27" style="position:absolute;margin-left:-71.85pt;margin-top:-35.05pt;width:28.35pt;height:70.8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9a41 [3205]" stroked="f" strokeweight="1pt" w14:anchorId="10FA6F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">
              <w10:wrap anchorx="margin"/>
            </v:rect>
          </w:pict>
        </mc:Fallback>
      </mc:AlternateContent>
    </w:r>
    <w:r w:rsidR="003302BE">
      <w:rPr>
        <w:color w:val="4C0053" w:themeColor="accent1"/>
      </w:rPr>
      <w:t>Briefing Note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A1EA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9C61E52"/>
    <w:multiLevelType w:val="multilevel"/>
    <w:tmpl w:val="5CAC85BC"/>
    <w:lvl w:ilvl="0">
      <w:start w:val="1"/>
      <w:numFmt w:val="upperLetter"/>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A02188B"/>
    <w:multiLevelType w:val="hybridMultilevel"/>
    <w:tmpl w:val="7ECAAD14"/>
    <w:lvl w:ilvl="0" w:tplc="FFBEE074">
      <w:start w:val="1"/>
      <w:numFmt w:val="bullet"/>
      <w:lvlText w:val=""/>
      <w:lvlJc w:val="left"/>
      <w:pPr>
        <w:ind w:left="720" w:hanging="360"/>
      </w:pPr>
      <w:rPr>
        <w:rFonts w:ascii="Symbol" w:hAnsi="Symbol" w:hint="default"/>
        <w:color w:val="BE9A4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0218E"/>
    <w:multiLevelType w:val="hybridMultilevel"/>
    <w:tmpl w:val="0128D560"/>
    <w:lvl w:ilvl="0" w:tplc="FFBEE074">
      <w:start w:val="1"/>
      <w:numFmt w:val="bullet"/>
      <w:lvlText w:val=""/>
      <w:lvlJc w:val="left"/>
      <w:pPr>
        <w:ind w:left="1080" w:hanging="360"/>
      </w:pPr>
      <w:rPr>
        <w:rFonts w:ascii="Symbol" w:hAnsi="Symbol" w:hint="default"/>
        <w:color w:val="BE9A41" w:themeColor="accen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3E030C"/>
    <w:multiLevelType w:val="hybridMultilevel"/>
    <w:tmpl w:val="093CB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C5387"/>
    <w:multiLevelType w:val="multilevel"/>
    <w:tmpl w:val="C4F802AE"/>
    <w:lvl w:ilvl="0">
      <w:start w:val="1"/>
      <w:numFmt w:val="decimal"/>
      <w:lvlText w:val="A%1.1"/>
      <w:lvlJc w:val="left"/>
      <w:pPr>
        <w:ind w:left="520" w:hanging="520"/>
      </w:pPr>
      <w:rPr>
        <w:rFonts w:hint="default"/>
      </w:rPr>
    </w:lvl>
    <w:lvl w:ilvl="1">
      <w:start w:val="1"/>
      <w:numFmt w:val="decimal"/>
      <w:lvlText w:val="Annex %1.%2"/>
      <w:lvlJc w:val="left"/>
      <w:pPr>
        <w:ind w:left="1701" w:hanging="170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14AB7F0C"/>
    <w:multiLevelType w:val="hybridMultilevel"/>
    <w:tmpl w:val="19342DBE"/>
    <w:lvl w:ilvl="0" w:tplc="4926899E">
      <w:start w:val="1"/>
      <w:numFmt w:val="bullet"/>
      <w:lvlText w:val=""/>
      <w:lvlJc w:val="left"/>
      <w:pPr>
        <w:ind w:left="720" w:hanging="360"/>
      </w:pPr>
      <w:rPr>
        <w:rFonts w:ascii="Symbol" w:hAnsi="Symbol" w:hint="default"/>
        <w:color w:val="BE9A41"/>
      </w:rPr>
    </w:lvl>
    <w:lvl w:ilvl="1" w:tplc="97726B46">
      <w:start w:val="1"/>
      <w:numFmt w:val="bullet"/>
      <w:lvlText w:val="o"/>
      <w:lvlJc w:val="left"/>
      <w:pPr>
        <w:ind w:left="1440" w:hanging="360"/>
      </w:pPr>
      <w:rPr>
        <w:rFonts w:ascii="Courier New" w:hAnsi="Courier New" w:hint="default"/>
      </w:rPr>
    </w:lvl>
    <w:lvl w:ilvl="2" w:tplc="CAB62A1C">
      <w:start w:val="1"/>
      <w:numFmt w:val="bullet"/>
      <w:lvlText w:val=""/>
      <w:lvlJc w:val="left"/>
      <w:pPr>
        <w:ind w:left="2160" w:hanging="360"/>
      </w:pPr>
      <w:rPr>
        <w:rFonts w:ascii="Wingdings" w:hAnsi="Wingdings" w:hint="default"/>
      </w:rPr>
    </w:lvl>
    <w:lvl w:ilvl="3" w:tplc="D26AC3C0">
      <w:start w:val="1"/>
      <w:numFmt w:val="bullet"/>
      <w:lvlText w:val=""/>
      <w:lvlJc w:val="left"/>
      <w:pPr>
        <w:ind w:left="2880" w:hanging="360"/>
      </w:pPr>
      <w:rPr>
        <w:rFonts w:ascii="Symbol" w:hAnsi="Symbol" w:hint="default"/>
      </w:rPr>
    </w:lvl>
    <w:lvl w:ilvl="4" w:tplc="33CA519C">
      <w:start w:val="1"/>
      <w:numFmt w:val="bullet"/>
      <w:lvlText w:val="o"/>
      <w:lvlJc w:val="left"/>
      <w:pPr>
        <w:ind w:left="3600" w:hanging="360"/>
      </w:pPr>
      <w:rPr>
        <w:rFonts w:ascii="Courier New" w:hAnsi="Courier New" w:hint="default"/>
      </w:rPr>
    </w:lvl>
    <w:lvl w:ilvl="5" w:tplc="24FE75FE">
      <w:start w:val="1"/>
      <w:numFmt w:val="bullet"/>
      <w:lvlText w:val=""/>
      <w:lvlJc w:val="left"/>
      <w:pPr>
        <w:ind w:left="4320" w:hanging="360"/>
      </w:pPr>
      <w:rPr>
        <w:rFonts w:ascii="Wingdings" w:hAnsi="Wingdings" w:hint="default"/>
      </w:rPr>
    </w:lvl>
    <w:lvl w:ilvl="6" w:tplc="F24AA0C4">
      <w:start w:val="1"/>
      <w:numFmt w:val="bullet"/>
      <w:lvlText w:val=""/>
      <w:lvlJc w:val="left"/>
      <w:pPr>
        <w:ind w:left="5040" w:hanging="360"/>
      </w:pPr>
      <w:rPr>
        <w:rFonts w:ascii="Symbol" w:hAnsi="Symbol" w:hint="default"/>
      </w:rPr>
    </w:lvl>
    <w:lvl w:ilvl="7" w:tplc="2F5A008A">
      <w:start w:val="1"/>
      <w:numFmt w:val="bullet"/>
      <w:lvlText w:val="o"/>
      <w:lvlJc w:val="left"/>
      <w:pPr>
        <w:ind w:left="5760" w:hanging="360"/>
      </w:pPr>
      <w:rPr>
        <w:rFonts w:ascii="Courier New" w:hAnsi="Courier New" w:hint="default"/>
      </w:rPr>
    </w:lvl>
    <w:lvl w:ilvl="8" w:tplc="2108BB44">
      <w:start w:val="1"/>
      <w:numFmt w:val="bullet"/>
      <w:lvlText w:val=""/>
      <w:lvlJc w:val="left"/>
      <w:pPr>
        <w:ind w:left="6480" w:hanging="360"/>
      </w:pPr>
      <w:rPr>
        <w:rFonts w:ascii="Wingdings" w:hAnsi="Wingdings" w:hint="default"/>
      </w:rPr>
    </w:lvl>
  </w:abstractNum>
  <w:abstractNum w:abstractNumId="7" w15:restartNumberingAfterBreak="0">
    <w:nsid w:val="17D465D7"/>
    <w:multiLevelType w:val="hybridMultilevel"/>
    <w:tmpl w:val="32C2CAB4"/>
    <w:lvl w:ilvl="0" w:tplc="051E88A8">
      <w:start w:val="1"/>
      <w:numFmt w:val="bullet"/>
      <w:lvlText w:val=""/>
      <w:lvlJc w:val="left"/>
      <w:pPr>
        <w:ind w:left="720" w:hanging="360"/>
      </w:pPr>
      <w:rPr>
        <w:rFonts w:ascii="Symbol" w:hAnsi="Symbol" w:hint="default"/>
        <w:color w:val="FF65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908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5C1598"/>
    <w:multiLevelType w:val="multilevel"/>
    <w:tmpl w:val="A3EE63D2"/>
    <w:lvl w:ilvl="0">
      <w:start w:val="1"/>
      <w:numFmt w:val="decimal"/>
      <w:lvlText w:val="A%1.1"/>
      <w:lvlJc w:val="left"/>
      <w:pPr>
        <w:ind w:left="520" w:hanging="520"/>
      </w:pPr>
      <w:rPr>
        <w:rFonts w:hint="default"/>
      </w:rPr>
    </w:lvl>
    <w:lvl w:ilvl="1">
      <w:start w:val="1"/>
      <w:numFmt w:val="decimal"/>
      <w:lvlText w:val="Annex %1.%2"/>
      <w:lvlJc w:val="left"/>
      <w:pPr>
        <w:ind w:left="2268" w:hanging="2268"/>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4545B3D"/>
    <w:multiLevelType w:val="hybridMultilevel"/>
    <w:tmpl w:val="0D1A21BA"/>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87E20"/>
    <w:multiLevelType w:val="multilevel"/>
    <w:tmpl w:val="A36E5D0E"/>
    <w:lvl w:ilvl="0">
      <w:start w:val="1"/>
      <w:numFmt w:val="decimal"/>
      <w:pStyle w:val="Annexheading4"/>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pStyle w:val="Annexheading4"/>
      <w:lvlText w:val="Annex %1.%2.%3.%4."/>
      <w:lvlJc w:val="left"/>
      <w:pPr>
        <w:ind w:left="1701" w:hanging="1701"/>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9241025"/>
    <w:multiLevelType w:val="hybridMultilevel"/>
    <w:tmpl w:val="2DB62B3E"/>
    <w:lvl w:ilvl="0" w:tplc="FFBEE074">
      <w:start w:val="1"/>
      <w:numFmt w:val="bullet"/>
      <w:lvlText w:val=""/>
      <w:lvlJc w:val="left"/>
      <w:pPr>
        <w:ind w:left="720" w:hanging="360"/>
      </w:pPr>
      <w:rPr>
        <w:rFonts w:ascii="Symbol" w:hAnsi="Symbol" w:hint="default"/>
        <w:color w:val="BE9A4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6446EA"/>
    <w:multiLevelType w:val="hybridMultilevel"/>
    <w:tmpl w:val="8BF49D7E"/>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2348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953F63"/>
    <w:multiLevelType w:val="multilevel"/>
    <w:tmpl w:val="A314B758"/>
    <w:lvl w:ilvl="0">
      <w:start w:val="1"/>
      <w:numFmt w:val="decimal"/>
      <w:lvlText w:val="Annex %1"/>
      <w:lvlJc w:val="left"/>
      <w:pPr>
        <w:ind w:left="851" w:hanging="85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50118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FBE2BE7"/>
    <w:multiLevelType w:val="multilevel"/>
    <w:tmpl w:val="ED3CB77A"/>
    <w:lvl w:ilvl="0">
      <w:start w:val="1"/>
      <w:numFmt w:val="decimal"/>
      <w:lvlText w:val="A%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4904DD"/>
    <w:multiLevelType w:val="hybridMultilevel"/>
    <w:tmpl w:val="D9BC8E84"/>
    <w:lvl w:ilvl="0" w:tplc="FC6E9974">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D43384"/>
    <w:multiLevelType w:val="hybridMultilevel"/>
    <w:tmpl w:val="0F9E5FF2"/>
    <w:lvl w:ilvl="0" w:tplc="FFBEE074">
      <w:start w:val="1"/>
      <w:numFmt w:val="bullet"/>
      <w:lvlText w:val=""/>
      <w:lvlJc w:val="left"/>
      <w:pPr>
        <w:ind w:left="720" w:hanging="360"/>
      </w:pPr>
      <w:rPr>
        <w:rFonts w:ascii="Symbol" w:hAnsi="Symbol" w:hint="default"/>
        <w:color w:val="BE9A4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42619"/>
    <w:multiLevelType w:val="multilevel"/>
    <w:tmpl w:val="502E8546"/>
    <w:lvl w:ilvl="0">
      <w:start w:val="1"/>
      <w:numFmt w:val="decimal"/>
      <w:pStyle w:val="Heading1"/>
      <w:lvlText w:val="%1."/>
      <w:lvlJc w:val="left"/>
      <w:pPr>
        <w:ind w:left="567" w:hanging="567"/>
      </w:pPr>
    </w:lvl>
    <w:lvl w:ilvl="1">
      <w:start w:val="1"/>
      <w:numFmt w:val="decimal"/>
      <w:pStyle w:val="Heading2"/>
      <w:lvlText w:val="%1.%2."/>
      <w:lvlJc w:val="left"/>
      <w:pPr>
        <w:ind w:left="720" w:hanging="360"/>
      </w:pPr>
    </w:lvl>
    <w:lvl w:ilvl="2">
      <w:start w:val="1"/>
      <w:numFmt w:val="decimal"/>
      <w:pStyle w:val="Heading3"/>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1" w15:restartNumberingAfterBreak="0">
    <w:nsid w:val="475C454A"/>
    <w:multiLevelType w:val="multilevel"/>
    <w:tmpl w:val="21ECC61E"/>
    <w:lvl w:ilvl="0">
      <w:start w:val="1"/>
      <w:numFmt w:val="decimal"/>
      <w:lvlText w:val="A%1.1"/>
      <w:lvlJc w:val="left"/>
      <w:pPr>
        <w:ind w:left="520" w:hanging="520"/>
      </w:pPr>
      <w:rPr>
        <w:rFonts w:hint="default"/>
      </w:rPr>
    </w:lvl>
    <w:lvl w:ilvl="1">
      <w:start w:val="1"/>
      <w:numFmt w:val="decimal"/>
      <w:lvlText w:val="Annex %1.%2"/>
      <w:lvlJc w:val="left"/>
      <w:pPr>
        <w:ind w:left="851" w:hanging="85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484C4849"/>
    <w:multiLevelType w:val="multilevel"/>
    <w:tmpl w:val="E76225E2"/>
    <w:lvl w:ilvl="0">
      <w:start w:val="1"/>
      <w:numFmt w:val="decimal"/>
      <w:lvlText w:val="A%1.1"/>
      <w:lvlJc w:val="left"/>
      <w:pPr>
        <w:ind w:left="520" w:hanging="520"/>
      </w:pPr>
      <w:rPr>
        <w:rFonts w:hint="default"/>
      </w:rPr>
    </w:lvl>
    <w:lvl w:ilvl="1">
      <w:start w:val="1"/>
      <w:numFmt w:val="decimal"/>
      <w:lvlText w:val="Annex %1.%2"/>
      <w:lvlJc w:val="left"/>
      <w:pPr>
        <w:ind w:left="2835" w:hanging="2835"/>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9CB055D"/>
    <w:multiLevelType w:val="hybridMultilevel"/>
    <w:tmpl w:val="9D0A29BE"/>
    <w:lvl w:ilvl="0" w:tplc="B3F428F4">
      <w:start w:val="1"/>
      <w:numFmt w:val="bullet"/>
      <w:lvlText w:val=""/>
      <w:lvlJc w:val="left"/>
      <w:pPr>
        <w:ind w:left="720" w:hanging="360"/>
      </w:pPr>
      <w:rPr>
        <w:rFonts w:ascii="Symbol" w:hAnsi="Symbol" w:hint="default"/>
        <w:color w:val="BE9A41"/>
      </w:rPr>
    </w:lvl>
    <w:lvl w:ilvl="1" w:tplc="0F1AA120">
      <w:start w:val="1"/>
      <w:numFmt w:val="bullet"/>
      <w:lvlText w:val="o"/>
      <w:lvlJc w:val="left"/>
      <w:pPr>
        <w:ind w:left="1440" w:hanging="360"/>
      </w:pPr>
      <w:rPr>
        <w:rFonts w:ascii="Courier New" w:hAnsi="Courier New" w:hint="default"/>
      </w:rPr>
    </w:lvl>
    <w:lvl w:ilvl="2" w:tplc="B3566E04">
      <w:start w:val="1"/>
      <w:numFmt w:val="bullet"/>
      <w:lvlText w:val=""/>
      <w:lvlJc w:val="left"/>
      <w:pPr>
        <w:ind w:left="2160" w:hanging="360"/>
      </w:pPr>
      <w:rPr>
        <w:rFonts w:ascii="Wingdings" w:hAnsi="Wingdings" w:hint="default"/>
      </w:rPr>
    </w:lvl>
    <w:lvl w:ilvl="3" w:tplc="F6802F40">
      <w:start w:val="1"/>
      <w:numFmt w:val="bullet"/>
      <w:lvlText w:val=""/>
      <w:lvlJc w:val="left"/>
      <w:pPr>
        <w:ind w:left="2880" w:hanging="360"/>
      </w:pPr>
      <w:rPr>
        <w:rFonts w:ascii="Symbol" w:hAnsi="Symbol" w:hint="default"/>
      </w:rPr>
    </w:lvl>
    <w:lvl w:ilvl="4" w:tplc="3B1C097E">
      <w:start w:val="1"/>
      <w:numFmt w:val="bullet"/>
      <w:lvlText w:val="o"/>
      <w:lvlJc w:val="left"/>
      <w:pPr>
        <w:ind w:left="3600" w:hanging="360"/>
      </w:pPr>
      <w:rPr>
        <w:rFonts w:ascii="Courier New" w:hAnsi="Courier New" w:hint="default"/>
      </w:rPr>
    </w:lvl>
    <w:lvl w:ilvl="5" w:tplc="8A8E13B4">
      <w:start w:val="1"/>
      <w:numFmt w:val="bullet"/>
      <w:lvlText w:val=""/>
      <w:lvlJc w:val="left"/>
      <w:pPr>
        <w:ind w:left="4320" w:hanging="360"/>
      </w:pPr>
      <w:rPr>
        <w:rFonts w:ascii="Wingdings" w:hAnsi="Wingdings" w:hint="default"/>
      </w:rPr>
    </w:lvl>
    <w:lvl w:ilvl="6" w:tplc="58588296">
      <w:start w:val="1"/>
      <w:numFmt w:val="bullet"/>
      <w:lvlText w:val=""/>
      <w:lvlJc w:val="left"/>
      <w:pPr>
        <w:ind w:left="5040" w:hanging="360"/>
      </w:pPr>
      <w:rPr>
        <w:rFonts w:ascii="Symbol" w:hAnsi="Symbol" w:hint="default"/>
      </w:rPr>
    </w:lvl>
    <w:lvl w:ilvl="7" w:tplc="2DDCCDCA">
      <w:start w:val="1"/>
      <w:numFmt w:val="bullet"/>
      <w:lvlText w:val="o"/>
      <w:lvlJc w:val="left"/>
      <w:pPr>
        <w:ind w:left="5760" w:hanging="360"/>
      </w:pPr>
      <w:rPr>
        <w:rFonts w:ascii="Courier New" w:hAnsi="Courier New" w:hint="default"/>
      </w:rPr>
    </w:lvl>
    <w:lvl w:ilvl="8" w:tplc="63D09F12">
      <w:start w:val="1"/>
      <w:numFmt w:val="bullet"/>
      <w:lvlText w:val=""/>
      <w:lvlJc w:val="left"/>
      <w:pPr>
        <w:ind w:left="6480" w:hanging="360"/>
      </w:pPr>
      <w:rPr>
        <w:rFonts w:ascii="Wingdings" w:hAnsi="Wingdings" w:hint="default"/>
      </w:rPr>
    </w:lvl>
  </w:abstractNum>
  <w:abstractNum w:abstractNumId="24" w15:restartNumberingAfterBreak="0">
    <w:nsid w:val="4A942515"/>
    <w:multiLevelType w:val="hybridMultilevel"/>
    <w:tmpl w:val="FFFFFFFF"/>
    <w:lvl w:ilvl="0" w:tplc="8BFA9352">
      <w:start w:val="1"/>
      <w:numFmt w:val="bullet"/>
      <w:lvlText w:val=""/>
      <w:lvlJc w:val="left"/>
      <w:pPr>
        <w:ind w:left="720" w:hanging="360"/>
      </w:pPr>
      <w:rPr>
        <w:rFonts w:ascii="Symbol" w:hAnsi="Symbol" w:hint="default"/>
      </w:rPr>
    </w:lvl>
    <w:lvl w:ilvl="1" w:tplc="428201EE">
      <w:start w:val="1"/>
      <w:numFmt w:val="bullet"/>
      <w:lvlText w:val="o"/>
      <w:lvlJc w:val="left"/>
      <w:pPr>
        <w:ind w:left="1440" w:hanging="360"/>
      </w:pPr>
      <w:rPr>
        <w:rFonts w:ascii="Courier New" w:hAnsi="Courier New" w:hint="default"/>
      </w:rPr>
    </w:lvl>
    <w:lvl w:ilvl="2" w:tplc="4A6C70CC">
      <w:start w:val="1"/>
      <w:numFmt w:val="bullet"/>
      <w:lvlText w:val=""/>
      <w:lvlJc w:val="left"/>
      <w:pPr>
        <w:ind w:left="2160" w:hanging="360"/>
      </w:pPr>
      <w:rPr>
        <w:rFonts w:ascii="Wingdings" w:hAnsi="Wingdings" w:hint="default"/>
      </w:rPr>
    </w:lvl>
    <w:lvl w:ilvl="3" w:tplc="AD4837C0">
      <w:start w:val="1"/>
      <w:numFmt w:val="bullet"/>
      <w:lvlText w:val=""/>
      <w:lvlJc w:val="left"/>
      <w:pPr>
        <w:ind w:left="2880" w:hanging="360"/>
      </w:pPr>
      <w:rPr>
        <w:rFonts w:ascii="Symbol" w:hAnsi="Symbol" w:hint="default"/>
      </w:rPr>
    </w:lvl>
    <w:lvl w:ilvl="4" w:tplc="391A23B8">
      <w:start w:val="1"/>
      <w:numFmt w:val="bullet"/>
      <w:lvlText w:val="o"/>
      <w:lvlJc w:val="left"/>
      <w:pPr>
        <w:ind w:left="3600" w:hanging="360"/>
      </w:pPr>
      <w:rPr>
        <w:rFonts w:ascii="Courier New" w:hAnsi="Courier New" w:hint="default"/>
      </w:rPr>
    </w:lvl>
    <w:lvl w:ilvl="5" w:tplc="97144B8A">
      <w:start w:val="1"/>
      <w:numFmt w:val="bullet"/>
      <w:lvlText w:val=""/>
      <w:lvlJc w:val="left"/>
      <w:pPr>
        <w:ind w:left="4320" w:hanging="360"/>
      </w:pPr>
      <w:rPr>
        <w:rFonts w:ascii="Wingdings" w:hAnsi="Wingdings" w:hint="default"/>
      </w:rPr>
    </w:lvl>
    <w:lvl w:ilvl="6" w:tplc="3ED26876">
      <w:start w:val="1"/>
      <w:numFmt w:val="bullet"/>
      <w:lvlText w:val=""/>
      <w:lvlJc w:val="left"/>
      <w:pPr>
        <w:ind w:left="5040" w:hanging="360"/>
      </w:pPr>
      <w:rPr>
        <w:rFonts w:ascii="Symbol" w:hAnsi="Symbol" w:hint="default"/>
      </w:rPr>
    </w:lvl>
    <w:lvl w:ilvl="7" w:tplc="CFA458AA">
      <w:start w:val="1"/>
      <w:numFmt w:val="bullet"/>
      <w:lvlText w:val="o"/>
      <w:lvlJc w:val="left"/>
      <w:pPr>
        <w:ind w:left="5760" w:hanging="360"/>
      </w:pPr>
      <w:rPr>
        <w:rFonts w:ascii="Courier New" w:hAnsi="Courier New" w:hint="default"/>
      </w:rPr>
    </w:lvl>
    <w:lvl w:ilvl="8" w:tplc="E74013DE">
      <w:start w:val="1"/>
      <w:numFmt w:val="bullet"/>
      <w:lvlText w:val=""/>
      <w:lvlJc w:val="left"/>
      <w:pPr>
        <w:ind w:left="6480" w:hanging="360"/>
      </w:pPr>
      <w:rPr>
        <w:rFonts w:ascii="Wingdings" w:hAnsi="Wingdings" w:hint="default"/>
      </w:rPr>
    </w:lvl>
  </w:abstractNum>
  <w:abstractNum w:abstractNumId="25" w15:restartNumberingAfterBreak="0">
    <w:nsid w:val="4FD971E7"/>
    <w:multiLevelType w:val="multilevel"/>
    <w:tmpl w:val="C4F802AE"/>
    <w:lvl w:ilvl="0">
      <w:start w:val="1"/>
      <w:numFmt w:val="decimal"/>
      <w:lvlText w:val="A%1.1"/>
      <w:lvlJc w:val="left"/>
      <w:pPr>
        <w:ind w:left="520" w:hanging="520"/>
      </w:pPr>
      <w:rPr>
        <w:rFonts w:hint="default"/>
      </w:rPr>
    </w:lvl>
    <w:lvl w:ilvl="1">
      <w:start w:val="1"/>
      <w:numFmt w:val="decimal"/>
      <w:lvlText w:val="Annex %1.%2"/>
      <w:lvlJc w:val="left"/>
      <w:pPr>
        <w:ind w:left="1701" w:hanging="170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51056171"/>
    <w:multiLevelType w:val="multilevel"/>
    <w:tmpl w:val="03BED412"/>
    <w:lvl w:ilvl="0">
      <w:start w:val="1"/>
      <w:numFmt w:val="decimal"/>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53D87835"/>
    <w:multiLevelType w:val="hybridMultilevel"/>
    <w:tmpl w:val="69B23624"/>
    <w:lvl w:ilvl="0" w:tplc="56BA9230">
      <w:start w:val="1"/>
      <w:numFmt w:val="bullet"/>
      <w:lvlText w:val=""/>
      <w:lvlJc w:val="left"/>
      <w:pPr>
        <w:ind w:left="720" w:hanging="360"/>
      </w:pPr>
      <w:rPr>
        <w:rFonts w:ascii="Symbol" w:hAnsi="Symbol" w:hint="default"/>
        <w:color w:val="BE9A41"/>
      </w:rPr>
    </w:lvl>
    <w:lvl w:ilvl="1" w:tplc="2E54A570">
      <w:start w:val="1"/>
      <w:numFmt w:val="bullet"/>
      <w:lvlText w:val="o"/>
      <w:lvlJc w:val="left"/>
      <w:pPr>
        <w:ind w:left="1440" w:hanging="360"/>
      </w:pPr>
      <w:rPr>
        <w:rFonts w:ascii="Courier New" w:hAnsi="Courier New" w:hint="default"/>
      </w:rPr>
    </w:lvl>
    <w:lvl w:ilvl="2" w:tplc="55C2678C">
      <w:start w:val="1"/>
      <w:numFmt w:val="bullet"/>
      <w:lvlText w:val=""/>
      <w:lvlJc w:val="left"/>
      <w:pPr>
        <w:ind w:left="2160" w:hanging="360"/>
      </w:pPr>
      <w:rPr>
        <w:rFonts w:ascii="Wingdings" w:hAnsi="Wingdings" w:hint="default"/>
      </w:rPr>
    </w:lvl>
    <w:lvl w:ilvl="3" w:tplc="07966962">
      <w:start w:val="1"/>
      <w:numFmt w:val="bullet"/>
      <w:lvlText w:val=""/>
      <w:lvlJc w:val="left"/>
      <w:pPr>
        <w:ind w:left="2880" w:hanging="360"/>
      </w:pPr>
      <w:rPr>
        <w:rFonts w:ascii="Symbol" w:hAnsi="Symbol" w:hint="default"/>
      </w:rPr>
    </w:lvl>
    <w:lvl w:ilvl="4" w:tplc="4F76D214">
      <w:start w:val="1"/>
      <w:numFmt w:val="bullet"/>
      <w:lvlText w:val="o"/>
      <w:lvlJc w:val="left"/>
      <w:pPr>
        <w:ind w:left="3600" w:hanging="360"/>
      </w:pPr>
      <w:rPr>
        <w:rFonts w:ascii="Courier New" w:hAnsi="Courier New" w:hint="default"/>
      </w:rPr>
    </w:lvl>
    <w:lvl w:ilvl="5" w:tplc="DB1AFEA0">
      <w:start w:val="1"/>
      <w:numFmt w:val="bullet"/>
      <w:lvlText w:val=""/>
      <w:lvlJc w:val="left"/>
      <w:pPr>
        <w:ind w:left="4320" w:hanging="360"/>
      </w:pPr>
      <w:rPr>
        <w:rFonts w:ascii="Wingdings" w:hAnsi="Wingdings" w:hint="default"/>
      </w:rPr>
    </w:lvl>
    <w:lvl w:ilvl="6" w:tplc="D30058F6">
      <w:start w:val="1"/>
      <w:numFmt w:val="bullet"/>
      <w:lvlText w:val=""/>
      <w:lvlJc w:val="left"/>
      <w:pPr>
        <w:ind w:left="5040" w:hanging="360"/>
      </w:pPr>
      <w:rPr>
        <w:rFonts w:ascii="Symbol" w:hAnsi="Symbol" w:hint="default"/>
      </w:rPr>
    </w:lvl>
    <w:lvl w:ilvl="7" w:tplc="28D0FE9A">
      <w:start w:val="1"/>
      <w:numFmt w:val="bullet"/>
      <w:lvlText w:val="o"/>
      <w:lvlJc w:val="left"/>
      <w:pPr>
        <w:ind w:left="5760" w:hanging="360"/>
      </w:pPr>
      <w:rPr>
        <w:rFonts w:ascii="Courier New" w:hAnsi="Courier New" w:hint="default"/>
      </w:rPr>
    </w:lvl>
    <w:lvl w:ilvl="8" w:tplc="EA709376">
      <w:start w:val="1"/>
      <w:numFmt w:val="bullet"/>
      <w:lvlText w:val=""/>
      <w:lvlJc w:val="left"/>
      <w:pPr>
        <w:ind w:left="6480" w:hanging="360"/>
      </w:pPr>
      <w:rPr>
        <w:rFonts w:ascii="Wingdings" w:hAnsi="Wingdings" w:hint="default"/>
      </w:rPr>
    </w:lvl>
  </w:abstractNum>
  <w:abstractNum w:abstractNumId="28" w15:restartNumberingAfterBreak="0">
    <w:nsid w:val="5B3B2742"/>
    <w:multiLevelType w:val="hybridMultilevel"/>
    <w:tmpl w:val="C17C449C"/>
    <w:lvl w:ilvl="0" w:tplc="0BCA88C8">
      <w:start w:val="1"/>
      <w:numFmt w:val="decimal"/>
      <w:lvlText w:val="Annex %1"/>
      <w:lvlJc w:val="left"/>
      <w:pPr>
        <w:ind w:left="1701" w:hanging="170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8834E4"/>
    <w:multiLevelType w:val="hybridMultilevel"/>
    <w:tmpl w:val="91445D30"/>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39914"/>
    <w:multiLevelType w:val="hybridMultilevel"/>
    <w:tmpl w:val="E3F60A82"/>
    <w:lvl w:ilvl="0" w:tplc="5680EBD2">
      <w:start w:val="1"/>
      <w:numFmt w:val="bullet"/>
      <w:lvlText w:val=""/>
      <w:lvlJc w:val="left"/>
      <w:pPr>
        <w:ind w:left="720" w:hanging="360"/>
      </w:pPr>
      <w:rPr>
        <w:rFonts w:ascii="Symbol" w:hAnsi="Symbol" w:hint="default"/>
        <w:color w:val="BE9A41"/>
      </w:rPr>
    </w:lvl>
    <w:lvl w:ilvl="1" w:tplc="49521B6A">
      <w:start w:val="1"/>
      <w:numFmt w:val="bullet"/>
      <w:lvlText w:val="o"/>
      <w:lvlJc w:val="left"/>
      <w:pPr>
        <w:ind w:left="1440" w:hanging="360"/>
      </w:pPr>
      <w:rPr>
        <w:rFonts w:ascii="Courier New" w:hAnsi="Courier New" w:hint="default"/>
      </w:rPr>
    </w:lvl>
    <w:lvl w:ilvl="2" w:tplc="01DA7FBC">
      <w:start w:val="1"/>
      <w:numFmt w:val="bullet"/>
      <w:lvlText w:val=""/>
      <w:lvlJc w:val="left"/>
      <w:pPr>
        <w:ind w:left="2160" w:hanging="360"/>
      </w:pPr>
      <w:rPr>
        <w:rFonts w:ascii="Wingdings" w:hAnsi="Wingdings" w:hint="default"/>
      </w:rPr>
    </w:lvl>
    <w:lvl w:ilvl="3" w:tplc="AD7AC2C6">
      <w:start w:val="1"/>
      <w:numFmt w:val="bullet"/>
      <w:lvlText w:val=""/>
      <w:lvlJc w:val="left"/>
      <w:pPr>
        <w:ind w:left="2880" w:hanging="360"/>
      </w:pPr>
      <w:rPr>
        <w:rFonts w:ascii="Symbol" w:hAnsi="Symbol" w:hint="default"/>
      </w:rPr>
    </w:lvl>
    <w:lvl w:ilvl="4" w:tplc="D996DCCC">
      <w:start w:val="1"/>
      <w:numFmt w:val="bullet"/>
      <w:lvlText w:val="o"/>
      <w:lvlJc w:val="left"/>
      <w:pPr>
        <w:ind w:left="3600" w:hanging="360"/>
      </w:pPr>
      <w:rPr>
        <w:rFonts w:ascii="Courier New" w:hAnsi="Courier New" w:hint="default"/>
      </w:rPr>
    </w:lvl>
    <w:lvl w:ilvl="5" w:tplc="052EFD9A">
      <w:start w:val="1"/>
      <w:numFmt w:val="bullet"/>
      <w:lvlText w:val=""/>
      <w:lvlJc w:val="left"/>
      <w:pPr>
        <w:ind w:left="4320" w:hanging="360"/>
      </w:pPr>
      <w:rPr>
        <w:rFonts w:ascii="Wingdings" w:hAnsi="Wingdings" w:hint="default"/>
      </w:rPr>
    </w:lvl>
    <w:lvl w:ilvl="6" w:tplc="A5ECCCBC">
      <w:start w:val="1"/>
      <w:numFmt w:val="bullet"/>
      <w:lvlText w:val=""/>
      <w:lvlJc w:val="left"/>
      <w:pPr>
        <w:ind w:left="5040" w:hanging="360"/>
      </w:pPr>
      <w:rPr>
        <w:rFonts w:ascii="Symbol" w:hAnsi="Symbol" w:hint="default"/>
      </w:rPr>
    </w:lvl>
    <w:lvl w:ilvl="7" w:tplc="FEEC5764">
      <w:start w:val="1"/>
      <w:numFmt w:val="bullet"/>
      <w:lvlText w:val="o"/>
      <w:lvlJc w:val="left"/>
      <w:pPr>
        <w:ind w:left="5760" w:hanging="360"/>
      </w:pPr>
      <w:rPr>
        <w:rFonts w:ascii="Courier New" w:hAnsi="Courier New" w:hint="default"/>
      </w:rPr>
    </w:lvl>
    <w:lvl w:ilvl="8" w:tplc="3244D3DA">
      <w:start w:val="1"/>
      <w:numFmt w:val="bullet"/>
      <w:lvlText w:val=""/>
      <w:lvlJc w:val="left"/>
      <w:pPr>
        <w:ind w:left="6480" w:hanging="360"/>
      </w:pPr>
      <w:rPr>
        <w:rFonts w:ascii="Wingdings" w:hAnsi="Wingdings" w:hint="default"/>
      </w:rPr>
    </w:lvl>
  </w:abstractNum>
  <w:abstractNum w:abstractNumId="31" w15:restartNumberingAfterBreak="0">
    <w:nsid w:val="67417CDB"/>
    <w:multiLevelType w:val="multilevel"/>
    <w:tmpl w:val="B0B0D90E"/>
    <w:lvl w:ilvl="0">
      <w:start w:val="1"/>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6C112014"/>
    <w:multiLevelType w:val="multilevel"/>
    <w:tmpl w:val="C59A5756"/>
    <w:lvl w:ilvl="0">
      <w:start w:val="1"/>
      <w:numFmt w:val="decimal"/>
      <w:lvlText w:val="A%1.1"/>
      <w:lvlJc w:val="left"/>
      <w:pPr>
        <w:ind w:left="520" w:hanging="520"/>
      </w:pPr>
      <w:rPr>
        <w:rFonts w:hint="default"/>
      </w:rPr>
    </w:lvl>
    <w:lvl w:ilvl="1">
      <w:start w:val="1"/>
      <w:numFmt w:val="decimal"/>
      <w:lvlText w:val="Annex %1.%2"/>
      <w:lvlJc w:val="left"/>
      <w:pPr>
        <w:ind w:left="1134" w:hanging="1134"/>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6C1D670F"/>
    <w:multiLevelType w:val="multilevel"/>
    <w:tmpl w:val="FC96B4EC"/>
    <w:lvl w:ilvl="0">
      <w:start w:val="1"/>
      <w:numFmt w:val="decimal"/>
      <w:lvlText w:val="Annex %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C611BA"/>
    <w:multiLevelType w:val="multilevel"/>
    <w:tmpl w:val="A6A48A8C"/>
    <w:lvl w:ilvl="0">
      <w:start w:val="1"/>
      <w:numFmt w:val="decimal"/>
      <w:pStyle w:val="Annexheading1"/>
      <w:lvlText w:val="Annex %1"/>
      <w:lvlJc w:val="left"/>
      <w:pPr>
        <w:ind w:left="1701" w:hanging="1701"/>
      </w:pPr>
      <w:rPr>
        <w:rFonts w:hint="default"/>
      </w:rPr>
    </w:lvl>
    <w:lvl w:ilvl="1">
      <w:start w:val="1"/>
      <w:numFmt w:val="decimal"/>
      <w:pStyle w:val="AnnexHeading2"/>
      <w:lvlText w:val="Annex %1.%2"/>
      <w:lvlJc w:val="left"/>
      <w:pPr>
        <w:ind w:left="1701" w:hanging="1701"/>
      </w:pPr>
      <w:rPr>
        <w:rFonts w:hint="default"/>
      </w:rPr>
    </w:lvl>
    <w:lvl w:ilvl="2">
      <w:start w:val="1"/>
      <w:numFmt w:val="decimal"/>
      <w:pStyle w:val="AnnexHeading3"/>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6FA3155A"/>
    <w:multiLevelType w:val="multilevel"/>
    <w:tmpl w:val="C17C449C"/>
    <w:lvl w:ilvl="0">
      <w:start w:val="1"/>
      <w:numFmt w:val="decimal"/>
      <w:lvlText w:val="Annex %1"/>
      <w:lvlJc w:val="left"/>
      <w:pPr>
        <w:ind w:left="1701" w:hanging="170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0D72E7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3136113"/>
    <w:multiLevelType w:val="hybridMultilevel"/>
    <w:tmpl w:val="A9C2F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BC6214"/>
    <w:multiLevelType w:val="hybridMultilevel"/>
    <w:tmpl w:val="3B708126"/>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803527"/>
    <w:multiLevelType w:val="multilevel"/>
    <w:tmpl w:val="156E8BDC"/>
    <w:lvl w:ilvl="0">
      <w:start w:val="1"/>
      <w:numFmt w:val="decimal"/>
      <w:lvlText w:val="A%1.1"/>
      <w:lvlJc w:val="left"/>
      <w:pPr>
        <w:ind w:left="520" w:hanging="520"/>
      </w:pPr>
      <w:rPr>
        <w:rFonts w:hint="default"/>
      </w:rPr>
    </w:lvl>
    <w:lvl w:ilvl="1">
      <w:start w:val="1"/>
      <w:numFmt w:val="decimal"/>
      <w:lvlText w:val="Annex %1.%2"/>
      <w:lvlJc w:val="left"/>
      <w:pPr>
        <w:ind w:left="1701" w:hanging="170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7F2B6522"/>
    <w:multiLevelType w:val="hybridMultilevel"/>
    <w:tmpl w:val="3898ABBC"/>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6565275">
    <w:abstractNumId w:val="6"/>
  </w:num>
  <w:num w:numId="2" w16cid:durableId="106002858">
    <w:abstractNumId w:val="30"/>
  </w:num>
  <w:num w:numId="3" w16cid:durableId="517428771">
    <w:abstractNumId w:val="27"/>
  </w:num>
  <w:num w:numId="4" w16cid:durableId="1630941652">
    <w:abstractNumId w:val="23"/>
  </w:num>
  <w:num w:numId="5" w16cid:durableId="2093358324">
    <w:abstractNumId w:val="24"/>
  </w:num>
  <w:num w:numId="6" w16cid:durableId="31417301">
    <w:abstractNumId w:val="29"/>
  </w:num>
  <w:num w:numId="7" w16cid:durableId="961574579">
    <w:abstractNumId w:val="38"/>
  </w:num>
  <w:num w:numId="8" w16cid:durableId="358775739">
    <w:abstractNumId w:val="28"/>
  </w:num>
  <w:num w:numId="9" w16cid:durableId="457264484">
    <w:abstractNumId w:val="26"/>
  </w:num>
  <w:num w:numId="10" w16cid:durableId="182669940">
    <w:abstractNumId w:val="20"/>
  </w:num>
  <w:num w:numId="11" w16cid:durableId="1155030496">
    <w:abstractNumId w:val="7"/>
  </w:num>
  <w:num w:numId="12" w16cid:durableId="316498232">
    <w:abstractNumId w:val="17"/>
  </w:num>
  <w:num w:numId="13" w16cid:durableId="2117211305">
    <w:abstractNumId w:val="33"/>
  </w:num>
  <w:num w:numId="14" w16cid:durableId="1454523690">
    <w:abstractNumId w:val="14"/>
  </w:num>
  <w:num w:numId="15" w16cid:durableId="546916617">
    <w:abstractNumId w:val="36"/>
  </w:num>
  <w:num w:numId="16" w16cid:durableId="1007756148">
    <w:abstractNumId w:val="21"/>
  </w:num>
  <w:num w:numId="17" w16cid:durableId="597059768">
    <w:abstractNumId w:val="22"/>
  </w:num>
  <w:num w:numId="18" w16cid:durableId="850921044">
    <w:abstractNumId w:val="32"/>
  </w:num>
  <w:num w:numId="19" w16cid:durableId="788813260">
    <w:abstractNumId w:val="9"/>
  </w:num>
  <w:num w:numId="20" w16cid:durableId="621303334">
    <w:abstractNumId w:val="15"/>
  </w:num>
  <w:num w:numId="21" w16cid:durableId="346758928">
    <w:abstractNumId w:val="39"/>
  </w:num>
  <w:num w:numId="22" w16cid:durableId="61221268">
    <w:abstractNumId w:val="25"/>
  </w:num>
  <w:num w:numId="23" w16cid:durableId="986737760">
    <w:abstractNumId w:val="5"/>
  </w:num>
  <w:num w:numId="24" w16cid:durableId="55518963">
    <w:abstractNumId w:val="35"/>
  </w:num>
  <w:num w:numId="25" w16cid:durableId="1675572229">
    <w:abstractNumId w:val="16"/>
  </w:num>
  <w:num w:numId="26" w16cid:durableId="49310423">
    <w:abstractNumId w:val="34"/>
  </w:num>
  <w:num w:numId="27" w16cid:durableId="673803232">
    <w:abstractNumId w:val="8"/>
  </w:num>
  <w:num w:numId="28" w16cid:durableId="754085933">
    <w:abstractNumId w:val="11"/>
  </w:num>
  <w:num w:numId="29" w16cid:durableId="1103383341">
    <w:abstractNumId w:val="1"/>
  </w:num>
  <w:num w:numId="30" w16cid:durableId="788821275">
    <w:abstractNumId w:val="31"/>
  </w:num>
  <w:num w:numId="31" w16cid:durableId="474107202">
    <w:abstractNumId w:val="40"/>
  </w:num>
  <w:num w:numId="32" w16cid:durableId="701905928">
    <w:abstractNumId w:val="10"/>
  </w:num>
  <w:num w:numId="33" w16cid:durableId="2062751884">
    <w:abstractNumId w:val="13"/>
  </w:num>
  <w:num w:numId="34" w16cid:durableId="148637379">
    <w:abstractNumId w:val="0"/>
  </w:num>
  <w:num w:numId="35" w16cid:durableId="2119792307">
    <w:abstractNumId w:val="37"/>
  </w:num>
  <w:num w:numId="36" w16cid:durableId="1697345627">
    <w:abstractNumId w:val="4"/>
  </w:num>
  <w:num w:numId="37" w16cid:durableId="1998999155">
    <w:abstractNumId w:val="19"/>
  </w:num>
  <w:num w:numId="38" w16cid:durableId="685059444">
    <w:abstractNumId w:val="3"/>
  </w:num>
  <w:num w:numId="39" w16cid:durableId="980958267">
    <w:abstractNumId w:val="2"/>
  </w:num>
  <w:num w:numId="40" w16cid:durableId="1477651296">
    <w:abstractNumId w:val="12"/>
  </w:num>
  <w:num w:numId="41" w16cid:durableId="1681932321">
    <w:abstractNumId w:val="20"/>
  </w:num>
  <w:num w:numId="42" w16cid:durableId="1975016628">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1A"/>
    <w:rsid w:val="00001942"/>
    <w:rsid w:val="000045A7"/>
    <w:rsid w:val="00011738"/>
    <w:rsid w:val="00012A29"/>
    <w:rsid w:val="00013E96"/>
    <w:rsid w:val="000154B0"/>
    <w:rsid w:val="0002534C"/>
    <w:rsid w:val="00026E42"/>
    <w:rsid w:val="0003579F"/>
    <w:rsid w:val="0004279A"/>
    <w:rsid w:val="00047239"/>
    <w:rsid w:val="00062E19"/>
    <w:rsid w:val="00063EE3"/>
    <w:rsid w:val="000652BC"/>
    <w:rsid w:val="0007461D"/>
    <w:rsid w:val="00075122"/>
    <w:rsid w:val="00084195"/>
    <w:rsid w:val="000A3A3F"/>
    <w:rsid w:val="000A6032"/>
    <w:rsid w:val="000A6816"/>
    <w:rsid w:val="000B487C"/>
    <w:rsid w:val="000B59EB"/>
    <w:rsid w:val="000B7A24"/>
    <w:rsid w:val="000C4CBF"/>
    <w:rsid w:val="000C54CF"/>
    <w:rsid w:val="000D38C7"/>
    <w:rsid w:val="000D3B38"/>
    <w:rsid w:val="000D4474"/>
    <w:rsid w:val="000E0C54"/>
    <w:rsid w:val="000E20D6"/>
    <w:rsid w:val="000E4853"/>
    <w:rsid w:val="000E6453"/>
    <w:rsid w:val="000F1FC0"/>
    <w:rsid w:val="000F3EAF"/>
    <w:rsid w:val="00100032"/>
    <w:rsid w:val="0010040E"/>
    <w:rsid w:val="00107B39"/>
    <w:rsid w:val="00112774"/>
    <w:rsid w:val="00120652"/>
    <w:rsid w:val="00121F3C"/>
    <w:rsid w:val="00123CDF"/>
    <w:rsid w:val="00123EE0"/>
    <w:rsid w:val="001240C2"/>
    <w:rsid w:val="001258C1"/>
    <w:rsid w:val="001273E3"/>
    <w:rsid w:val="001308BE"/>
    <w:rsid w:val="001315BB"/>
    <w:rsid w:val="001340C3"/>
    <w:rsid w:val="00137034"/>
    <w:rsid w:val="00143794"/>
    <w:rsid w:val="00145DAE"/>
    <w:rsid w:val="001518DD"/>
    <w:rsid w:val="00152F86"/>
    <w:rsid w:val="0015319A"/>
    <w:rsid w:val="00162FDB"/>
    <w:rsid w:val="0016320B"/>
    <w:rsid w:val="001646E7"/>
    <w:rsid w:val="001672C0"/>
    <w:rsid w:val="00180997"/>
    <w:rsid w:val="00180DEF"/>
    <w:rsid w:val="00183433"/>
    <w:rsid w:val="001917BC"/>
    <w:rsid w:val="001963CF"/>
    <w:rsid w:val="0019694B"/>
    <w:rsid w:val="001A1C13"/>
    <w:rsid w:val="001A3061"/>
    <w:rsid w:val="001A3721"/>
    <w:rsid w:val="001A56CB"/>
    <w:rsid w:val="001A57D2"/>
    <w:rsid w:val="001B444A"/>
    <w:rsid w:val="001B6A55"/>
    <w:rsid w:val="001C329B"/>
    <w:rsid w:val="001C3B7C"/>
    <w:rsid w:val="001D2404"/>
    <w:rsid w:val="001D2BD2"/>
    <w:rsid w:val="001D4AB2"/>
    <w:rsid w:val="001D6D93"/>
    <w:rsid w:val="001E3650"/>
    <w:rsid w:val="001E366C"/>
    <w:rsid w:val="001E68FD"/>
    <w:rsid w:val="001E6A98"/>
    <w:rsid w:val="001E778B"/>
    <w:rsid w:val="001F0E1E"/>
    <w:rsid w:val="001F26B9"/>
    <w:rsid w:val="001F327F"/>
    <w:rsid w:val="001F3B0B"/>
    <w:rsid w:val="002001EC"/>
    <w:rsid w:val="0020119E"/>
    <w:rsid w:val="00205F33"/>
    <w:rsid w:val="00206687"/>
    <w:rsid w:val="0021360C"/>
    <w:rsid w:val="00217A0F"/>
    <w:rsid w:val="002218DA"/>
    <w:rsid w:val="002242D8"/>
    <w:rsid w:val="002272F3"/>
    <w:rsid w:val="002313F4"/>
    <w:rsid w:val="002340A9"/>
    <w:rsid w:val="00240FA0"/>
    <w:rsid w:val="00243136"/>
    <w:rsid w:val="0024752C"/>
    <w:rsid w:val="00250467"/>
    <w:rsid w:val="0025471B"/>
    <w:rsid w:val="00260835"/>
    <w:rsid w:val="002637C8"/>
    <w:rsid w:val="00263F95"/>
    <w:rsid w:val="002719EF"/>
    <w:rsid w:val="002750B2"/>
    <w:rsid w:val="002815D8"/>
    <w:rsid w:val="00282AFE"/>
    <w:rsid w:val="002873A5"/>
    <w:rsid w:val="00287765"/>
    <w:rsid w:val="002960F3"/>
    <w:rsid w:val="002A059E"/>
    <w:rsid w:val="002A11A2"/>
    <w:rsid w:val="002A1928"/>
    <w:rsid w:val="002A353D"/>
    <w:rsid w:val="002A37E5"/>
    <w:rsid w:val="002A410F"/>
    <w:rsid w:val="002B0EE6"/>
    <w:rsid w:val="002B2C63"/>
    <w:rsid w:val="002B3A3F"/>
    <w:rsid w:val="002B5839"/>
    <w:rsid w:val="002C1D94"/>
    <w:rsid w:val="002C5F2D"/>
    <w:rsid w:val="002C6176"/>
    <w:rsid w:val="002E5F7D"/>
    <w:rsid w:val="002F03B0"/>
    <w:rsid w:val="002F0BBF"/>
    <w:rsid w:val="002F2CFD"/>
    <w:rsid w:val="002F4F0A"/>
    <w:rsid w:val="002F53E0"/>
    <w:rsid w:val="003006BD"/>
    <w:rsid w:val="003041B9"/>
    <w:rsid w:val="00313295"/>
    <w:rsid w:val="003146EA"/>
    <w:rsid w:val="00314DD5"/>
    <w:rsid w:val="00316BE1"/>
    <w:rsid w:val="00317776"/>
    <w:rsid w:val="0032112D"/>
    <w:rsid w:val="0032142D"/>
    <w:rsid w:val="00321598"/>
    <w:rsid w:val="0032589C"/>
    <w:rsid w:val="003302BE"/>
    <w:rsid w:val="003305D0"/>
    <w:rsid w:val="0033171A"/>
    <w:rsid w:val="00337048"/>
    <w:rsid w:val="003435B6"/>
    <w:rsid w:val="0034572D"/>
    <w:rsid w:val="00346B3E"/>
    <w:rsid w:val="00350B74"/>
    <w:rsid w:val="00352B1B"/>
    <w:rsid w:val="00355D32"/>
    <w:rsid w:val="00356DF9"/>
    <w:rsid w:val="00363CE8"/>
    <w:rsid w:val="003654B5"/>
    <w:rsid w:val="00367A2E"/>
    <w:rsid w:val="00373E76"/>
    <w:rsid w:val="0037570E"/>
    <w:rsid w:val="00377819"/>
    <w:rsid w:val="003930A4"/>
    <w:rsid w:val="00397F22"/>
    <w:rsid w:val="003A32B8"/>
    <w:rsid w:val="003A33F4"/>
    <w:rsid w:val="003B6136"/>
    <w:rsid w:val="003C3066"/>
    <w:rsid w:val="003D0C35"/>
    <w:rsid w:val="003D7631"/>
    <w:rsid w:val="003E0541"/>
    <w:rsid w:val="003E1F6E"/>
    <w:rsid w:val="003E288C"/>
    <w:rsid w:val="003E4A8C"/>
    <w:rsid w:val="003F2797"/>
    <w:rsid w:val="003F29AA"/>
    <w:rsid w:val="003F29AF"/>
    <w:rsid w:val="00401250"/>
    <w:rsid w:val="004032C7"/>
    <w:rsid w:val="0040399E"/>
    <w:rsid w:val="0040564B"/>
    <w:rsid w:val="00406C18"/>
    <w:rsid w:val="00410AE5"/>
    <w:rsid w:val="00420404"/>
    <w:rsid w:val="004225EC"/>
    <w:rsid w:val="00427150"/>
    <w:rsid w:val="00427F03"/>
    <w:rsid w:val="0043318C"/>
    <w:rsid w:val="00433502"/>
    <w:rsid w:val="00433B97"/>
    <w:rsid w:val="004360E0"/>
    <w:rsid w:val="00440452"/>
    <w:rsid w:val="004408B2"/>
    <w:rsid w:val="00443862"/>
    <w:rsid w:val="00443AC9"/>
    <w:rsid w:val="00445F99"/>
    <w:rsid w:val="0045011A"/>
    <w:rsid w:val="004516BB"/>
    <w:rsid w:val="00452300"/>
    <w:rsid w:val="0045295B"/>
    <w:rsid w:val="00453EE5"/>
    <w:rsid w:val="00455096"/>
    <w:rsid w:val="00456F53"/>
    <w:rsid w:val="00457BE1"/>
    <w:rsid w:val="004604A9"/>
    <w:rsid w:val="0046302C"/>
    <w:rsid w:val="00467084"/>
    <w:rsid w:val="004767DF"/>
    <w:rsid w:val="00476BDD"/>
    <w:rsid w:val="00476FE7"/>
    <w:rsid w:val="00480CFB"/>
    <w:rsid w:val="004952AE"/>
    <w:rsid w:val="004B0C14"/>
    <w:rsid w:val="004B2397"/>
    <w:rsid w:val="004B633C"/>
    <w:rsid w:val="004B636E"/>
    <w:rsid w:val="004B7A85"/>
    <w:rsid w:val="004C1714"/>
    <w:rsid w:val="004C54D1"/>
    <w:rsid w:val="004D07F4"/>
    <w:rsid w:val="004D15D0"/>
    <w:rsid w:val="004D1602"/>
    <w:rsid w:val="004D2DFD"/>
    <w:rsid w:val="004D768B"/>
    <w:rsid w:val="004E3384"/>
    <w:rsid w:val="004E58EB"/>
    <w:rsid w:val="004E6CAD"/>
    <w:rsid w:val="004F11DD"/>
    <w:rsid w:val="004F1AF3"/>
    <w:rsid w:val="004F3AAD"/>
    <w:rsid w:val="005045A7"/>
    <w:rsid w:val="00506ECB"/>
    <w:rsid w:val="00507887"/>
    <w:rsid w:val="00507C5C"/>
    <w:rsid w:val="00510580"/>
    <w:rsid w:val="0052676F"/>
    <w:rsid w:val="0053107C"/>
    <w:rsid w:val="005315EE"/>
    <w:rsid w:val="00533DB6"/>
    <w:rsid w:val="005340DA"/>
    <w:rsid w:val="00535329"/>
    <w:rsid w:val="00542151"/>
    <w:rsid w:val="00543BB7"/>
    <w:rsid w:val="00547035"/>
    <w:rsid w:val="0054799E"/>
    <w:rsid w:val="005539EA"/>
    <w:rsid w:val="00556548"/>
    <w:rsid w:val="0056049F"/>
    <w:rsid w:val="005712CF"/>
    <w:rsid w:val="00571F87"/>
    <w:rsid w:val="00574FEC"/>
    <w:rsid w:val="005756D1"/>
    <w:rsid w:val="00575ACD"/>
    <w:rsid w:val="00582803"/>
    <w:rsid w:val="005873DF"/>
    <w:rsid w:val="00587AFE"/>
    <w:rsid w:val="0059186A"/>
    <w:rsid w:val="00593F31"/>
    <w:rsid w:val="00593FB7"/>
    <w:rsid w:val="005941FD"/>
    <w:rsid w:val="005A2365"/>
    <w:rsid w:val="005A3433"/>
    <w:rsid w:val="005A718C"/>
    <w:rsid w:val="005B070A"/>
    <w:rsid w:val="005B13AA"/>
    <w:rsid w:val="005B2F2B"/>
    <w:rsid w:val="005B6675"/>
    <w:rsid w:val="005B7DBD"/>
    <w:rsid w:val="005C542E"/>
    <w:rsid w:val="005C7332"/>
    <w:rsid w:val="005C73B1"/>
    <w:rsid w:val="005D08C3"/>
    <w:rsid w:val="005D52C1"/>
    <w:rsid w:val="005D7B49"/>
    <w:rsid w:val="005E18F3"/>
    <w:rsid w:val="005E25F8"/>
    <w:rsid w:val="005E6BE8"/>
    <w:rsid w:val="005F0FD6"/>
    <w:rsid w:val="005F1A93"/>
    <w:rsid w:val="005F1FFF"/>
    <w:rsid w:val="005F5295"/>
    <w:rsid w:val="005F58BB"/>
    <w:rsid w:val="005F7834"/>
    <w:rsid w:val="0060654C"/>
    <w:rsid w:val="00613A44"/>
    <w:rsid w:val="0061664C"/>
    <w:rsid w:val="00617D26"/>
    <w:rsid w:val="00620536"/>
    <w:rsid w:val="00625A42"/>
    <w:rsid w:val="006263B1"/>
    <w:rsid w:val="006433E7"/>
    <w:rsid w:val="006449CF"/>
    <w:rsid w:val="00650936"/>
    <w:rsid w:val="00654818"/>
    <w:rsid w:val="0065506E"/>
    <w:rsid w:val="006564AC"/>
    <w:rsid w:val="00661B85"/>
    <w:rsid w:val="00664E3A"/>
    <w:rsid w:val="0067309E"/>
    <w:rsid w:val="00674D11"/>
    <w:rsid w:val="006774D4"/>
    <w:rsid w:val="00680C59"/>
    <w:rsid w:val="00683917"/>
    <w:rsid w:val="00685B53"/>
    <w:rsid w:val="006873B5"/>
    <w:rsid w:val="006B5E48"/>
    <w:rsid w:val="006B7360"/>
    <w:rsid w:val="006B76F3"/>
    <w:rsid w:val="006C12F2"/>
    <w:rsid w:val="006C28F6"/>
    <w:rsid w:val="006C3864"/>
    <w:rsid w:val="006C71DD"/>
    <w:rsid w:val="006D487D"/>
    <w:rsid w:val="006D6AAD"/>
    <w:rsid w:val="006E0084"/>
    <w:rsid w:val="006E5C29"/>
    <w:rsid w:val="006E6185"/>
    <w:rsid w:val="006E7176"/>
    <w:rsid w:val="006F1BA4"/>
    <w:rsid w:val="006F2E2D"/>
    <w:rsid w:val="006F5313"/>
    <w:rsid w:val="007000F6"/>
    <w:rsid w:val="007043AE"/>
    <w:rsid w:val="00705846"/>
    <w:rsid w:val="00705E57"/>
    <w:rsid w:val="00706D99"/>
    <w:rsid w:val="00710770"/>
    <w:rsid w:val="007125E8"/>
    <w:rsid w:val="00720DDF"/>
    <w:rsid w:val="00735504"/>
    <w:rsid w:val="00742928"/>
    <w:rsid w:val="00743DDB"/>
    <w:rsid w:val="0074536F"/>
    <w:rsid w:val="007454E7"/>
    <w:rsid w:val="007462F4"/>
    <w:rsid w:val="00752A0B"/>
    <w:rsid w:val="00752B0D"/>
    <w:rsid w:val="00757495"/>
    <w:rsid w:val="0076373F"/>
    <w:rsid w:val="00766E06"/>
    <w:rsid w:val="00770EFB"/>
    <w:rsid w:val="0077211A"/>
    <w:rsid w:val="0078336F"/>
    <w:rsid w:val="007846C6"/>
    <w:rsid w:val="0079507C"/>
    <w:rsid w:val="00797861"/>
    <w:rsid w:val="007A6C17"/>
    <w:rsid w:val="007A6E55"/>
    <w:rsid w:val="007B2B02"/>
    <w:rsid w:val="007B3C96"/>
    <w:rsid w:val="007B6E25"/>
    <w:rsid w:val="007B744C"/>
    <w:rsid w:val="007C50A5"/>
    <w:rsid w:val="007C7F6F"/>
    <w:rsid w:val="007D4528"/>
    <w:rsid w:val="007E2C9E"/>
    <w:rsid w:val="007F22D1"/>
    <w:rsid w:val="007F79FA"/>
    <w:rsid w:val="008050F7"/>
    <w:rsid w:val="008149B7"/>
    <w:rsid w:val="008257B8"/>
    <w:rsid w:val="00826968"/>
    <w:rsid w:val="00827A61"/>
    <w:rsid w:val="0083235F"/>
    <w:rsid w:val="00835AF4"/>
    <w:rsid w:val="008423EF"/>
    <w:rsid w:val="008437EC"/>
    <w:rsid w:val="00847BD2"/>
    <w:rsid w:val="00850602"/>
    <w:rsid w:val="00857797"/>
    <w:rsid w:val="00857DE6"/>
    <w:rsid w:val="00862832"/>
    <w:rsid w:val="00862A1E"/>
    <w:rsid w:val="00866588"/>
    <w:rsid w:val="00866640"/>
    <w:rsid w:val="00867194"/>
    <w:rsid w:val="00873E56"/>
    <w:rsid w:val="0088175A"/>
    <w:rsid w:val="00882EEC"/>
    <w:rsid w:val="00882FEC"/>
    <w:rsid w:val="00883031"/>
    <w:rsid w:val="00883154"/>
    <w:rsid w:val="0088633D"/>
    <w:rsid w:val="00891D17"/>
    <w:rsid w:val="008929B7"/>
    <w:rsid w:val="0089468E"/>
    <w:rsid w:val="008A02C0"/>
    <w:rsid w:val="008A0932"/>
    <w:rsid w:val="008A6604"/>
    <w:rsid w:val="008A6F39"/>
    <w:rsid w:val="008C22C5"/>
    <w:rsid w:val="008C5787"/>
    <w:rsid w:val="008D1E28"/>
    <w:rsid w:val="008D248C"/>
    <w:rsid w:val="008E324C"/>
    <w:rsid w:val="008E54D5"/>
    <w:rsid w:val="008E678F"/>
    <w:rsid w:val="008E6F90"/>
    <w:rsid w:val="008F3CA6"/>
    <w:rsid w:val="008F488C"/>
    <w:rsid w:val="008F4AD4"/>
    <w:rsid w:val="008F53AF"/>
    <w:rsid w:val="008F55C1"/>
    <w:rsid w:val="008F5D80"/>
    <w:rsid w:val="008F6AF2"/>
    <w:rsid w:val="00903C3E"/>
    <w:rsid w:val="00912E02"/>
    <w:rsid w:val="00914C0D"/>
    <w:rsid w:val="00916157"/>
    <w:rsid w:val="00920190"/>
    <w:rsid w:val="00920C03"/>
    <w:rsid w:val="00924B3C"/>
    <w:rsid w:val="00927361"/>
    <w:rsid w:val="00927AEB"/>
    <w:rsid w:val="00931D16"/>
    <w:rsid w:val="009373C3"/>
    <w:rsid w:val="009453AF"/>
    <w:rsid w:val="0094564F"/>
    <w:rsid w:val="00954A62"/>
    <w:rsid w:val="00955D46"/>
    <w:rsid w:val="00960648"/>
    <w:rsid w:val="009671D7"/>
    <w:rsid w:val="00980EDE"/>
    <w:rsid w:val="009864EB"/>
    <w:rsid w:val="0098657E"/>
    <w:rsid w:val="00986DC4"/>
    <w:rsid w:val="00986FB4"/>
    <w:rsid w:val="0099384D"/>
    <w:rsid w:val="00995A96"/>
    <w:rsid w:val="00996AE0"/>
    <w:rsid w:val="009A0238"/>
    <w:rsid w:val="009A35D5"/>
    <w:rsid w:val="009A3C6F"/>
    <w:rsid w:val="009A420C"/>
    <w:rsid w:val="009A4F5E"/>
    <w:rsid w:val="009B1C5A"/>
    <w:rsid w:val="009B45F9"/>
    <w:rsid w:val="009B6A96"/>
    <w:rsid w:val="009C16F4"/>
    <w:rsid w:val="009C77CC"/>
    <w:rsid w:val="009D3113"/>
    <w:rsid w:val="009D669A"/>
    <w:rsid w:val="009F3196"/>
    <w:rsid w:val="00A03BB1"/>
    <w:rsid w:val="00A044A3"/>
    <w:rsid w:val="00A0791E"/>
    <w:rsid w:val="00A120F3"/>
    <w:rsid w:val="00A1763E"/>
    <w:rsid w:val="00A2004C"/>
    <w:rsid w:val="00A24A2D"/>
    <w:rsid w:val="00A25AB8"/>
    <w:rsid w:val="00A25FCA"/>
    <w:rsid w:val="00A277AD"/>
    <w:rsid w:val="00A434D4"/>
    <w:rsid w:val="00A45272"/>
    <w:rsid w:val="00A5107F"/>
    <w:rsid w:val="00A52820"/>
    <w:rsid w:val="00A55019"/>
    <w:rsid w:val="00A63412"/>
    <w:rsid w:val="00A71AC8"/>
    <w:rsid w:val="00A769AC"/>
    <w:rsid w:val="00A77053"/>
    <w:rsid w:val="00A84F6D"/>
    <w:rsid w:val="00A86276"/>
    <w:rsid w:val="00A9294D"/>
    <w:rsid w:val="00A951F5"/>
    <w:rsid w:val="00A97E9B"/>
    <w:rsid w:val="00AA2C01"/>
    <w:rsid w:val="00AA3191"/>
    <w:rsid w:val="00AA44D1"/>
    <w:rsid w:val="00AA4791"/>
    <w:rsid w:val="00AA495C"/>
    <w:rsid w:val="00AB3B2E"/>
    <w:rsid w:val="00AB49DF"/>
    <w:rsid w:val="00AB6066"/>
    <w:rsid w:val="00AB7317"/>
    <w:rsid w:val="00AB76F3"/>
    <w:rsid w:val="00AC20A0"/>
    <w:rsid w:val="00AC2EE8"/>
    <w:rsid w:val="00AC3D35"/>
    <w:rsid w:val="00AC4897"/>
    <w:rsid w:val="00AC4DBE"/>
    <w:rsid w:val="00AC5067"/>
    <w:rsid w:val="00AD66B8"/>
    <w:rsid w:val="00AE6D27"/>
    <w:rsid w:val="00AE6D89"/>
    <w:rsid w:val="00AE7A4A"/>
    <w:rsid w:val="00AF362B"/>
    <w:rsid w:val="00AF7445"/>
    <w:rsid w:val="00B0674C"/>
    <w:rsid w:val="00B109DB"/>
    <w:rsid w:val="00B12729"/>
    <w:rsid w:val="00B15B7E"/>
    <w:rsid w:val="00B1611B"/>
    <w:rsid w:val="00B17262"/>
    <w:rsid w:val="00B3605F"/>
    <w:rsid w:val="00B42045"/>
    <w:rsid w:val="00B63C24"/>
    <w:rsid w:val="00B71E61"/>
    <w:rsid w:val="00B731CD"/>
    <w:rsid w:val="00B748EC"/>
    <w:rsid w:val="00B75A9A"/>
    <w:rsid w:val="00B7626F"/>
    <w:rsid w:val="00B76D05"/>
    <w:rsid w:val="00B76D4B"/>
    <w:rsid w:val="00B805CC"/>
    <w:rsid w:val="00B811A4"/>
    <w:rsid w:val="00B8423A"/>
    <w:rsid w:val="00B96628"/>
    <w:rsid w:val="00BA3B84"/>
    <w:rsid w:val="00BA45BB"/>
    <w:rsid w:val="00BA59CF"/>
    <w:rsid w:val="00BA5E40"/>
    <w:rsid w:val="00BA72E1"/>
    <w:rsid w:val="00BB0FE7"/>
    <w:rsid w:val="00BB42F0"/>
    <w:rsid w:val="00BB6822"/>
    <w:rsid w:val="00BD514B"/>
    <w:rsid w:val="00BE0D2E"/>
    <w:rsid w:val="00BE24CC"/>
    <w:rsid w:val="00BE3BD5"/>
    <w:rsid w:val="00BE46FE"/>
    <w:rsid w:val="00BE5915"/>
    <w:rsid w:val="00BF007D"/>
    <w:rsid w:val="00BF76C4"/>
    <w:rsid w:val="00C02C36"/>
    <w:rsid w:val="00C10E75"/>
    <w:rsid w:val="00C1167C"/>
    <w:rsid w:val="00C21AA3"/>
    <w:rsid w:val="00C232C6"/>
    <w:rsid w:val="00C23EEE"/>
    <w:rsid w:val="00C242E1"/>
    <w:rsid w:val="00C27DBA"/>
    <w:rsid w:val="00C3352F"/>
    <w:rsid w:val="00C34AD6"/>
    <w:rsid w:val="00C361A1"/>
    <w:rsid w:val="00C41B31"/>
    <w:rsid w:val="00C64113"/>
    <w:rsid w:val="00C671D0"/>
    <w:rsid w:val="00C7182B"/>
    <w:rsid w:val="00C73443"/>
    <w:rsid w:val="00C76555"/>
    <w:rsid w:val="00C76E40"/>
    <w:rsid w:val="00C85BF6"/>
    <w:rsid w:val="00C86899"/>
    <w:rsid w:val="00C875ED"/>
    <w:rsid w:val="00CA1A25"/>
    <w:rsid w:val="00CC1EED"/>
    <w:rsid w:val="00CC29FF"/>
    <w:rsid w:val="00CD06A8"/>
    <w:rsid w:val="00CD4C94"/>
    <w:rsid w:val="00CD68FA"/>
    <w:rsid w:val="00CE0C17"/>
    <w:rsid w:val="00CF299C"/>
    <w:rsid w:val="00CF6B54"/>
    <w:rsid w:val="00CF6D31"/>
    <w:rsid w:val="00CF7940"/>
    <w:rsid w:val="00D01BDF"/>
    <w:rsid w:val="00D02B33"/>
    <w:rsid w:val="00D10015"/>
    <w:rsid w:val="00D11D62"/>
    <w:rsid w:val="00D21374"/>
    <w:rsid w:val="00D255A2"/>
    <w:rsid w:val="00D37430"/>
    <w:rsid w:val="00D47218"/>
    <w:rsid w:val="00D57D16"/>
    <w:rsid w:val="00D61E92"/>
    <w:rsid w:val="00D6400C"/>
    <w:rsid w:val="00D708A9"/>
    <w:rsid w:val="00D70E23"/>
    <w:rsid w:val="00D964BD"/>
    <w:rsid w:val="00D96806"/>
    <w:rsid w:val="00D96FF3"/>
    <w:rsid w:val="00D97C28"/>
    <w:rsid w:val="00DA0304"/>
    <w:rsid w:val="00DA20C5"/>
    <w:rsid w:val="00DA2B17"/>
    <w:rsid w:val="00DA7FBA"/>
    <w:rsid w:val="00DC1CBA"/>
    <w:rsid w:val="00DC5B97"/>
    <w:rsid w:val="00DE4292"/>
    <w:rsid w:val="00DE62EC"/>
    <w:rsid w:val="00DF2272"/>
    <w:rsid w:val="00DF7F81"/>
    <w:rsid w:val="00E147B3"/>
    <w:rsid w:val="00E17DC0"/>
    <w:rsid w:val="00E2127F"/>
    <w:rsid w:val="00E225FC"/>
    <w:rsid w:val="00E235F0"/>
    <w:rsid w:val="00E2414A"/>
    <w:rsid w:val="00E277AB"/>
    <w:rsid w:val="00E4720A"/>
    <w:rsid w:val="00E5117D"/>
    <w:rsid w:val="00E61973"/>
    <w:rsid w:val="00E6415A"/>
    <w:rsid w:val="00E7641C"/>
    <w:rsid w:val="00E77072"/>
    <w:rsid w:val="00E778C3"/>
    <w:rsid w:val="00E77FA2"/>
    <w:rsid w:val="00E81D64"/>
    <w:rsid w:val="00E94905"/>
    <w:rsid w:val="00EA2BF4"/>
    <w:rsid w:val="00EA4A19"/>
    <w:rsid w:val="00EB562D"/>
    <w:rsid w:val="00EC20DB"/>
    <w:rsid w:val="00EC53C1"/>
    <w:rsid w:val="00EC6E78"/>
    <w:rsid w:val="00ED2FCA"/>
    <w:rsid w:val="00ED4F38"/>
    <w:rsid w:val="00EE5FD9"/>
    <w:rsid w:val="00EF10C8"/>
    <w:rsid w:val="00EF526E"/>
    <w:rsid w:val="00EF7E51"/>
    <w:rsid w:val="00F0434E"/>
    <w:rsid w:val="00F06062"/>
    <w:rsid w:val="00F076DE"/>
    <w:rsid w:val="00F078BF"/>
    <w:rsid w:val="00F10E59"/>
    <w:rsid w:val="00F131A9"/>
    <w:rsid w:val="00F24A1C"/>
    <w:rsid w:val="00F25009"/>
    <w:rsid w:val="00F25250"/>
    <w:rsid w:val="00F25D02"/>
    <w:rsid w:val="00F31608"/>
    <w:rsid w:val="00F40736"/>
    <w:rsid w:val="00F466F6"/>
    <w:rsid w:val="00F62709"/>
    <w:rsid w:val="00F64DF0"/>
    <w:rsid w:val="00F67B3F"/>
    <w:rsid w:val="00F67E2B"/>
    <w:rsid w:val="00F722EC"/>
    <w:rsid w:val="00F8011F"/>
    <w:rsid w:val="00F826C1"/>
    <w:rsid w:val="00F827D5"/>
    <w:rsid w:val="00F82B2F"/>
    <w:rsid w:val="00F9097E"/>
    <w:rsid w:val="00FA630C"/>
    <w:rsid w:val="00FA799A"/>
    <w:rsid w:val="00FC0B03"/>
    <w:rsid w:val="00FC264F"/>
    <w:rsid w:val="00FD00FF"/>
    <w:rsid w:val="00FD124C"/>
    <w:rsid w:val="00FD4344"/>
    <w:rsid w:val="00FD50AC"/>
    <w:rsid w:val="00FD62E9"/>
    <w:rsid w:val="00FD71BE"/>
    <w:rsid w:val="00FE38FD"/>
    <w:rsid w:val="00FE3D95"/>
    <w:rsid w:val="08D2C156"/>
    <w:rsid w:val="09299F0A"/>
    <w:rsid w:val="0B06D81E"/>
    <w:rsid w:val="0BDA5C49"/>
    <w:rsid w:val="0DAEDE63"/>
    <w:rsid w:val="12640F71"/>
    <w:rsid w:val="19D0F1E8"/>
    <w:rsid w:val="19E3F2C1"/>
    <w:rsid w:val="1DDC5E58"/>
    <w:rsid w:val="20914A3B"/>
    <w:rsid w:val="25C6E8C5"/>
    <w:rsid w:val="26C884AD"/>
    <w:rsid w:val="2BF19E81"/>
    <w:rsid w:val="308F6C28"/>
    <w:rsid w:val="33E5CC26"/>
    <w:rsid w:val="36ED35F5"/>
    <w:rsid w:val="3782C959"/>
    <w:rsid w:val="384DAF6C"/>
    <w:rsid w:val="3885F9CA"/>
    <w:rsid w:val="4262001C"/>
    <w:rsid w:val="4406EBD3"/>
    <w:rsid w:val="4DF798B4"/>
    <w:rsid w:val="4FB1ABD2"/>
    <w:rsid w:val="4FE0E349"/>
    <w:rsid w:val="51B25006"/>
    <w:rsid w:val="5242DDC7"/>
    <w:rsid w:val="53B571A8"/>
    <w:rsid w:val="56481D2A"/>
    <w:rsid w:val="58B18A61"/>
    <w:rsid w:val="59C7AD5E"/>
    <w:rsid w:val="5C530BBB"/>
    <w:rsid w:val="5F367355"/>
    <w:rsid w:val="60598E53"/>
    <w:rsid w:val="606109E2"/>
    <w:rsid w:val="66A13519"/>
    <w:rsid w:val="681C6CEB"/>
    <w:rsid w:val="69B8FD10"/>
    <w:rsid w:val="6CC086D7"/>
    <w:rsid w:val="6ED5A9D1"/>
    <w:rsid w:val="72BB51F6"/>
    <w:rsid w:val="74A1810E"/>
    <w:rsid w:val="75E788C3"/>
    <w:rsid w:val="76237E0B"/>
    <w:rsid w:val="76ECBAE2"/>
    <w:rsid w:val="789DBA13"/>
    <w:rsid w:val="7A8E552A"/>
    <w:rsid w:val="7AA7CE27"/>
    <w:rsid w:val="7B4CC195"/>
    <w:rsid w:val="7E3783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56F44"/>
  <w15:chartTrackingRefBased/>
  <w15:docId w15:val="{2A605090-1413-494B-AB99-DA89F5B0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430"/>
    <w:pPr>
      <w:spacing w:before="180" w:after="180"/>
    </w:pPr>
    <w:rPr>
      <w:rFonts w:ascii="Calibri" w:hAnsi="Calibri" w:cs="Calibri"/>
      <w:color w:val="000000" w:themeColor="text1"/>
      <w:sz w:val="22"/>
      <w:szCs w:val="22"/>
    </w:rPr>
  </w:style>
  <w:style w:type="paragraph" w:styleId="Heading1">
    <w:name w:val="heading 1"/>
    <w:basedOn w:val="Normal"/>
    <w:next w:val="Normal"/>
    <w:link w:val="Heading1Char"/>
    <w:uiPriority w:val="1"/>
    <w:qFormat/>
    <w:rsid w:val="00BB42F0"/>
    <w:pPr>
      <w:numPr>
        <w:numId w:val="10"/>
      </w:numPr>
      <w:spacing w:before="240" w:after="240"/>
      <w:outlineLvl w:val="0"/>
    </w:pPr>
    <w:rPr>
      <w:rFonts w:ascii="PT Sans" w:hAnsi="PT Sans"/>
      <w:b/>
      <w:color w:val="4C0053" w:themeColor="accent1"/>
      <w:sz w:val="40"/>
      <w:szCs w:val="40"/>
    </w:rPr>
  </w:style>
  <w:style w:type="paragraph" w:styleId="Heading2">
    <w:name w:val="heading 2"/>
    <w:basedOn w:val="Normal"/>
    <w:next w:val="Normal"/>
    <w:link w:val="Heading2Char"/>
    <w:uiPriority w:val="1"/>
    <w:qFormat/>
    <w:rsid w:val="00BB42F0"/>
    <w:pPr>
      <w:numPr>
        <w:ilvl w:val="1"/>
        <w:numId w:val="10"/>
      </w:numPr>
      <w:spacing w:before="240" w:after="240"/>
      <w:outlineLvl w:val="1"/>
    </w:pPr>
    <w:rPr>
      <w:rFonts w:ascii="PT Sans" w:hAnsi="PT Sans"/>
      <w:b/>
      <w:color w:val="4C0053" w:themeColor="accent1"/>
      <w:sz w:val="32"/>
      <w:szCs w:val="32"/>
    </w:rPr>
  </w:style>
  <w:style w:type="paragraph" w:styleId="Heading3">
    <w:name w:val="heading 3"/>
    <w:basedOn w:val="Normal"/>
    <w:next w:val="Normal"/>
    <w:link w:val="Heading3Char"/>
    <w:uiPriority w:val="1"/>
    <w:qFormat/>
    <w:rsid w:val="00BB42F0"/>
    <w:pPr>
      <w:numPr>
        <w:ilvl w:val="2"/>
        <w:numId w:val="10"/>
      </w:numPr>
      <w:spacing w:before="240" w:after="240"/>
      <w:outlineLvl w:val="2"/>
    </w:pPr>
    <w:rPr>
      <w:rFonts w:ascii="PT Sans" w:hAnsi="PT Sans"/>
      <w:b/>
      <w:color w:val="4C0053" w:themeColor="accent1"/>
      <w:sz w:val="24"/>
      <w:szCs w:val="24"/>
    </w:rPr>
  </w:style>
  <w:style w:type="paragraph" w:styleId="Heading4">
    <w:name w:val="heading 4"/>
    <w:basedOn w:val="Normal"/>
    <w:next w:val="Normal"/>
    <w:link w:val="Heading4Char"/>
    <w:uiPriority w:val="1"/>
    <w:qFormat/>
    <w:rsid w:val="00BB42F0"/>
    <w:pPr>
      <w:keepNext/>
      <w:keepLines/>
      <w:spacing w:before="240" w:after="240"/>
      <w:outlineLvl w:val="3"/>
    </w:pPr>
    <w:rPr>
      <w:rFonts w:ascii="PT Sans" w:eastAsiaTheme="majorEastAsia" w:hAnsi="PT Sans" w:cstheme="majorBidi"/>
      <w:b/>
      <w:iCs/>
      <w:color w:val="BE9A41" w:themeColor="accent2"/>
    </w:rPr>
  </w:style>
  <w:style w:type="paragraph" w:styleId="Heading5">
    <w:name w:val="heading 5"/>
    <w:basedOn w:val="Normal"/>
    <w:next w:val="Normal"/>
    <w:link w:val="Heading5Char"/>
    <w:uiPriority w:val="9"/>
    <w:semiHidden/>
    <w:unhideWhenUsed/>
    <w:rsid w:val="009D3113"/>
    <w:pPr>
      <w:keepNext/>
      <w:keepLines/>
      <w:spacing w:before="40"/>
      <w:outlineLvl w:val="4"/>
    </w:pPr>
    <w:rPr>
      <w:rFonts w:asciiTheme="majorHAnsi" w:eastAsiaTheme="majorEastAsia" w:hAnsiTheme="majorHAnsi" w:cstheme="majorBidi"/>
      <w:color w:val="38003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97"/>
    <w:pPr>
      <w:tabs>
        <w:tab w:val="center" w:pos="4513"/>
        <w:tab w:val="right" w:pos="9026"/>
      </w:tabs>
    </w:pPr>
    <w:rPr>
      <w:i/>
      <w:color w:val="003971"/>
    </w:rPr>
  </w:style>
  <w:style w:type="character" w:customStyle="1" w:styleId="HeaderChar">
    <w:name w:val="Header Char"/>
    <w:basedOn w:val="DefaultParagraphFont"/>
    <w:link w:val="Header"/>
    <w:uiPriority w:val="99"/>
    <w:rsid w:val="00433B97"/>
    <w:rPr>
      <w:rFonts w:ascii="PT Sans" w:hAnsi="PT Sans"/>
      <w:i/>
      <w:noProof/>
      <w:color w:val="003971"/>
      <w:sz w:val="22"/>
      <w:szCs w:val="22"/>
    </w:rPr>
  </w:style>
  <w:style w:type="paragraph" w:styleId="Footer">
    <w:name w:val="footer"/>
    <w:basedOn w:val="Normal"/>
    <w:link w:val="FooterChar"/>
    <w:uiPriority w:val="99"/>
    <w:unhideWhenUsed/>
    <w:rsid w:val="00152F86"/>
    <w:pPr>
      <w:tabs>
        <w:tab w:val="center" w:pos="4680"/>
        <w:tab w:val="right" w:pos="9360"/>
      </w:tabs>
      <w:spacing w:before="0" w:after="0"/>
    </w:pPr>
  </w:style>
  <w:style w:type="character" w:customStyle="1" w:styleId="FooterChar">
    <w:name w:val="Footer Char"/>
    <w:basedOn w:val="DefaultParagraphFont"/>
    <w:link w:val="Footer"/>
    <w:uiPriority w:val="99"/>
    <w:rsid w:val="00152F86"/>
    <w:rPr>
      <w:rFonts w:ascii="Calibri" w:hAnsi="Calibri" w:cs="Calibri"/>
      <w:color w:val="000000" w:themeColor="text1"/>
      <w:sz w:val="22"/>
      <w:szCs w:val="22"/>
    </w:rPr>
  </w:style>
  <w:style w:type="paragraph" w:styleId="FootnoteText">
    <w:name w:val="footnote text"/>
    <w:aliases w:val="Footnote,single space,footnote text,Footnote text,single spacing,FOOTNOTES,fn,ft,Footnote Text Char1,Footnote Text Char2 Char,Footnote Text Char1 Char Char,Footnote Text Char2 Char Char Char,Footnote Text Char1 Char Char Char Char,f,A"/>
    <w:basedOn w:val="NoSpacing"/>
    <w:link w:val="FootnoteTextChar"/>
    <w:autoRedefine/>
    <w:uiPriority w:val="6"/>
    <w:qFormat/>
    <w:rsid w:val="007A6C17"/>
  </w:style>
  <w:style w:type="character" w:customStyle="1" w:styleId="FootnoteTextChar">
    <w:name w:val="Footnote Text Char"/>
    <w:aliases w:val="Footnote Char,single space Char,footnote text Char,Footnote text Char,single spacing Char,FOOTNOTES Char,fn Char,ft Char,Footnote Text Char1 Char,Footnote Text Char2 Char Char,Footnote Text Char1 Char Char Char,f Char,A Char"/>
    <w:basedOn w:val="DefaultParagraphFont"/>
    <w:link w:val="FootnoteText"/>
    <w:uiPriority w:val="6"/>
    <w:rsid w:val="007A6C17"/>
    <w:rPr>
      <w:rFonts w:ascii="Calibri" w:hAnsi="Calibri" w:cs="Calibri"/>
      <w:color w:val="000000" w:themeColor="text1"/>
      <w:sz w:val="16"/>
      <w:szCs w:val="16"/>
    </w:rPr>
  </w:style>
  <w:style w:type="paragraph" w:customStyle="1" w:styleId="Bibliographyreferences">
    <w:name w:val="Bibliography references"/>
    <w:basedOn w:val="Normal"/>
    <w:uiPriority w:val="3"/>
    <w:qFormat/>
    <w:rsid w:val="00BB42F0"/>
    <w:pPr>
      <w:ind w:left="720" w:hanging="720"/>
    </w:pPr>
    <w:rPr>
      <w:rFonts w:ascii="PT Sans" w:hAnsi="PT Sans"/>
    </w:rPr>
  </w:style>
  <w:style w:type="paragraph" w:styleId="Caption">
    <w:name w:val="caption"/>
    <w:basedOn w:val="Normal"/>
    <w:next w:val="Normal"/>
    <w:uiPriority w:val="5"/>
    <w:qFormat/>
    <w:rsid w:val="00BB42F0"/>
    <w:pPr>
      <w:keepNext/>
      <w:spacing w:before="240" w:after="240"/>
    </w:pPr>
    <w:rPr>
      <w:rFonts w:ascii="PT Sans" w:hAnsi="PT Sans"/>
      <w:b/>
      <w:color w:val="4C0053" w:themeColor="accent1"/>
    </w:rPr>
  </w:style>
  <w:style w:type="table" w:styleId="TableGrid">
    <w:name w:val="Table Grid"/>
    <w:basedOn w:val="TableNormal"/>
    <w:uiPriority w:val="39"/>
    <w:rsid w:val="00250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42F0"/>
    <w:rPr>
      <w:rFonts w:ascii="PT Sans" w:hAnsi="PT Sans" w:cs="Calibri"/>
      <w:b/>
      <w:color w:val="4C0053" w:themeColor="accent1"/>
      <w:sz w:val="40"/>
      <w:szCs w:val="40"/>
    </w:rPr>
  </w:style>
  <w:style w:type="paragraph" w:customStyle="1" w:styleId="Captionsubtitle">
    <w:name w:val="Caption subtitle"/>
    <w:basedOn w:val="Caption"/>
    <w:semiHidden/>
    <w:qFormat/>
    <w:rsid w:val="00F466F6"/>
    <w:pPr>
      <w:spacing w:before="0"/>
    </w:pPr>
    <w:rPr>
      <w:color w:val="BE9A41" w:themeColor="accent2"/>
      <w:sz w:val="20"/>
    </w:rPr>
  </w:style>
  <w:style w:type="character" w:customStyle="1" w:styleId="Heading2Char">
    <w:name w:val="Heading 2 Char"/>
    <w:basedOn w:val="DefaultParagraphFont"/>
    <w:link w:val="Heading2"/>
    <w:uiPriority w:val="1"/>
    <w:rsid w:val="00BB42F0"/>
    <w:rPr>
      <w:rFonts w:ascii="PT Sans" w:hAnsi="PT Sans" w:cs="Calibri"/>
      <w:b/>
      <w:color w:val="4C0053" w:themeColor="accent1"/>
      <w:sz w:val="32"/>
      <w:szCs w:val="32"/>
    </w:rPr>
  </w:style>
  <w:style w:type="character" w:customStyle="1" w:styleId="Heading3Char">
    <w:name w:val="Heading 3 Char"/>
    <w:basedOn w:val="DefaultParagraphFont"/>
    <w:link w:val="Heading3"/>
    <w:uiPriority w:val="1"/>
    <w:rsid w:val="00BB42F0"/>
    <w:rPr>
      <w:rFonts w:ascii="PT Sans" w:hAnsi="PT Sans" w:cs="Calibri"/>
      <w:b/>
      <w:color w:val="4C0053" w:themeColor="accent1"/>
    </w:rPr>
  </w:style>
  <w:style w:type="paragraph" w:styleId="TOCHeading">
    <w:name w:val="TOC Heading"/>
    <w:basedOn w:val="Heading1"/>
    <w:next w:val="Normal"/>
    <w:uiPriority w:val="39"/>
    <w:unhideWhenUsed/>
    <w:rsid w:val="001258C1"/>
    <w:pPr>
      <w:keepNext/>
      <w:keepLines/>
      <w:spacing w:before="480" w:line="276" w:lineRule="auto"/>
      <w:outlineLvl w:val="9"/>
    </w:pPr>
    <w:rPr>
      <w:rFonts w:eastAsiaTheme="majorEastAsia" w:cstheme="majorBidi"/>
      <w:bCs/>
      <w:color w:val="38003E" w:themeColor="accent1" w:themeShade="BF"/>
      <w:sz w:val="28"/>
      <w:szCs w:val="28"/>
    </w:rPr>
  </w:style>
  <w:style w:type="paragraph" w:styleId="TOC2">
    <w:name w:val="toc 2"/>
    <w:aliases w:val="Heading_two"/>
    <w:basedOn w:val="Normal"/>
    <w:next w:val="Normal"/>
    <w:autoRedefine/>
    <w:uiPriority w:val="39"/>
    <w:unhideWhenUsed/>
    <w:rsid w:val="009671D7"/>
    <w:pPr>
      <w:ind w:left="220"/>
    </w:pPr>
    <w:rPr>
      <w:bCs/>
    </w:rPr>
  </w:style>
  <w:style w:type="paragraph" w:styleId="TOC1">
    <w:name w:val="toc 1"/>
    <w:aliases w:val="Heading_one"/>
    <w:basedOn w:val="Normal"/>
    <w:next w:val="Normal"/>
    <w:autoRedefine/>
    <w:uiPriority w:val="39"/>
    <w:unhideWhenUsed/>
    <w:rsid w:val="00401250"/>
    <w:pPr>
      <w:tabs>
        <w:tab w:val="left" w:pos="440"/>
        <w:tab w:val="right" w:leader="dot" w:pos="8488"/>
      </w:tabs>
    </w:pPr>
    <w:rPr>
      <w:b/>
      <w:bCs/>
      <w:iCs/>
      <w:szCs w:val="24"/>
    </w:rPr>
  </w:style>
  <w:style w:type="paragraph" w:styleId="TOC3">
    <w:name w:val="toc 3"/>
    <w:basedOn w:val="Normal"/>
    <w:next w:val="Normal"/>
    <w:autoRedefine/>
    <w:uiPriority w:val="39"/>
    <w:unhideWhenUsed/>
    <w:rsid w:val="009671D7"/>
    <w:pPr>
      <w:ind w:left="440"/>
    </w:pPr>
    <w:rPr>
      <w:sz w:val="20"/>
      <w:szCs w:val="20"/>
    </w:rPr>
  </w:style>
  <w:style w:type="paragraph" w:styleId="TOC4">
    <w:name w:val="toc 4"/>
    <w:basedOn w:val="Normal"/>
    <w:next w:val="Normal"/>
    <w:autoRedefine/>
    <w:uiPriority w:val="39"/>
    <w:semiHidden/>
    <w:unhideWhenUsed/>
    <w:qFormat/>
    <w:rsid w:val="00443AC9"/>
    <w:pPr>
      <w:ind w:left="660"/>
    </w:pPr>
    <w:rPr>
      <w:rFonts w:cstheme="minorHAnsi"/>
      <w:szCs w:val="20"/>
    </w:rPr>
  </w:style>
  <w:style w:type="paragraph" w:styleId="TOC5">
    <w:name w:val="toc 5"/>
    <w:basedOn w:val="Normal"/>
    <w:next w:val="Normal"/>
    <w:autoRedefine/>
    <w:uiPriority w:val="39"/>
    <w:semiHidden/>
    <w:unhideWhenUsed/>
    <w:rsid w:val="003F29AA"/>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F29AA"/>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F29AA"/>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F29AA"/>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F29AA"/>
    <w:pPr>
      <w:ind w:left="1760"/>
    </w:pPr>
    <w:rPr>
      <w:rFonts w:asciiTheme="minorHAnsi" w:hAnsiTheme="minorHAnsi" w:cstheme="minorHAnsi"/>
      <w:sz w:val="20"/>
      <w:szCs w:val="20"/>
    </w:rPr>
  </w:style>
  <w:style w:type="paragraph" w:styleId="NoSpacing">
    <w:name w:val="No Spacing"/>
    <w:aliases w:val="Text Box &amp; Table"/>
    <w:basedOn w:val="Normal"/>
    <w:link w:val="NoSpacingChar"/>
    <w:uiPriority w:val="2"/>
    <w:qFormat/>
    <w:rsid w:val="00BB42F0"/>
    <w:pPr>
      <w:spacing w:before="0" w:after="0"/>
    </w:pPr>
    <w:rPr>
      <w:rFonts w:ascii="PT Sans" w:hAnsi="PT Sans"/>
      <w:sz w:val="16"/>
      <w:szCs w:val="16"/>
    </w:rPr>
  </w:style>
  <w:style w:type="character" w:customStyle="1" w:styleId="NoSpacingChar">
    <w:name w:val="No Spacing Char"/>
    <w:aliases w:val="Text Box &amp; Table Char"/>
    <w:basedOn w:val="DefaultParagraphFont"/>
    <w:link w:val="NoSpacing"/>
    <w:uiPriority w:val="2"/>
    <w:rsid w:val="00BB42F0"/>
    <w:rPr>
      <w:rFonts w:ascii="PT Sans" w:hAnsi="PT Sans" w:cs="Calibri"/>
      <w:color w:val="4D4D4F" w:themeColor="accent6"/>
      <w:sz w:val="16"/>
      <w:szCs w:val="16"/>
    </w:rPr>
  </w:style>
  <w:style w:type="character" w:styleId="PageNumber">
    <w:name w:val="page number"/>
    <w:basedOn w:val="DefaultParagraphFont"/>
    <w:uiPriority w:val="99"/>
    <w:semiHidden/>
    <w:unhideWhenUsed/>
    <w:rsid w:val="002E5F7D"/>
  </w:style>
  <w:style w:type="paragraph" w:styleId="ListParagraph">
    <w:name w:val="List Paragraph"/>
    <w:basedOn w:val="Normal"/>
    <w:uiPriority w:val="34"/>
    <w:rsid w:val="00152F86"/>
    <w:pPr>
      <w:ind w:left="720"/>
      <w:contextualSpacing/>
    </w:pPr>
  </w:style>
  <w:style w:type="character" w:customStyle="1" w:styleId="Heading4Char">
    <w:name w:val="Heading 4 Char"/>
    <w:basedOn w:val="DefaultParagraphFont"/>
    <w:link w:val="Heading4"/>
    <w:uiPriority w:val="1"/>
    <w:rsid w:val="00BB42F0"/>
    <w:rPr>
      <w:rFonts w:ascii="PT Sans" w:eastAsiaTheme="majorEastAsia" w:hAnsi="PT Sans" w:cstheme="majorBidi"/>
      <w:b/>
      <w:iCs/>
      <w:color w:val="BE9A41" w:themeColor="accent2"/>
      <w:sz w:val="22"/>
      <w:szCs w:val="22"/>
    </w:rPr>
  </w:style>
  <w:style w:type="character" w:customStyle="1" w:styleId="Heading5Char">
    <w:name w:val="Heading 5 Char"/>
    <w:basedOn w:val="DefaultParagraphFont"/>
    <w:link w:val="Heading5"/>
    <w:uiPriority w:val="9"/>
    <w:semiHidden/>
    <w:rsid w:val="009D3113"/>
    <w:rPr>
      <w:rFonts w:asciiTheme="majorHAnsi" w:eastAsiaTheme="majorEastAsia" w:hAnsiTheme="majorHAnsi" w:cstheme="majorBidi"/>
      <w:color w:val="38003E" w:themeColor="accent1" w:themeShade="BF"/>
      <w:sz w:val="22"/>
      <w:szCs w:val="22"/>
    </w:rPr>
  </w:style>
  <w:style w:type="character" w:customStyle="1" w:styleId="UnresolvedMention1">
    <w:name w:val="Unresolved Mention1"/>
    <w:basedOn w:val="DefaultParagraphFont"/>
    <w:uiPriority w:val="99"/>
    <w:semiHidden/>
    <w:unhideWhenUsed/>
    <w:rsid w:val="000D4474"/>
    <w:rPr>
      <w:color w:val="605E5C"/>
      <w:shd w:val="clear" w:color="auto" w:fill="E1DFDD"/>
    </w:rPr>
  </w:style>
  <w:style w:type="paragraph" w:customStyle="1" w:styleId="Tableheadingsmall">
    <w:name w:val="Table heading small"/>
    <w:basedOn w:val="Normal"/>
    <w:uiPriority w:val="9"/>
    <w:semiHidden/>
    <w:rsid w:val="00433B97"/>
    <w:rPr>
      <w:b/>
      <w:color w:val="FFFFFF" w:themeColor="background1"/>
      <w:sz w:val="16"/>
      <w:szCs w:val="16"/>
    </w:rPr>
  </w:style>
  <w:style w:type="paragraph" w:styleId="BalloonText">
    <w:name w:val="Balloon Text"/>
    <w:basedOn w:val="Normal"/>
    <w:link w:val="BalloonTextChar"/>
    <w:uiPriority w:val="99"/>
    <w:semiHidden/>
    <w:unhideWhenUsed/>
    <w:rsid w:val="007B3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C96"/>
    <w:rPr>
      <w:rFonts w:ascii="Times New Roman" w:hAnsi="Times New Roman" w:cs="Times New Roman"/>
      <w:color w:val="000000" w:themeColor="text1"/>
      <w:sz w:val="18"/>
      <w:szCs w:val="18"/>
    </w:rPr>
  </w:style>
  <w:style w:type="paragraph" w:customStyle="1" w:styleId="Annexheading1">
    <w:name w:val="Annex heading 1"/>
    <w:basedOn w:val="Heading1"/>
    <w:uiPriority w:val="7"/>
    <w:qFormat/>
    <w:rsid w:val="006B76F3"/>
    <w:pPr>
      <w:numPr>
        <w:numId w:val="26"/>
      </w:numPr>
    </w:pPr>
  </w:style>
  <w:style w:type="paragraph" w:customStyle="1" w:styleId="Annexheading4">
    <w:name w:val="Annex heading 4"/>
    <w:basedOn w:val="Heading4"/>
    <w:uiPriority w:val="7"/>
    <w:qFormat/>
    <w:rsid w:val="00680C59"/>
    <w:pPr>
      <w:numPr>
        <w:numId w:val="28"/>
      </w:numPr>
    </w:pPr>
  </w:style>
  <w:style w:type="paragraph" w:customStyle="1" w:styleId="AnnexHeading2">
    <w:name w:val="Annex Heading 2"/>
    <w:basedOn w:val="Heading2"/>
    <w:uiPriority w:val="7"/>
    <w:qFormat/>
    <w:rsid w:val="00F67B3F"/>
    <w:pPr>
      <w:numPr>
        <w:numId w:val="26"/>
      </w:numPr>
    </w:pPr>
  </w:style>
  <w:style w:type="table" w:customStyle="1" w:styleId="PathwaysTable">
    <w:name w:val="Pathways Table"/>
    <w:basedOn w:val="TableNormal"/>
    <w:uiPriority w:val="99"/>
    <w:rsid w:val="00533DB6"/>
    <w:rPr>
      <w:rFonts w:ascii="Calibri" w:hAnsi="Calibri"/>
      <w:sz w:val="20"/>
    </w:rPr>
    <w:tblPr>
      <w:tblBorders>
        <w:top w:val="single" w:sz="24" w:space="0" w:color="B5DBAE" w:themeColor="accent4"/>
        <w:bottom w:val="single" w:sz="4" w:space="0" w:color="F2F2F2" w:themeColor="background1" w:themeShade="F2"/>
        <w:insideH w:val="single" w:sz="4" w:space="0" w:color="F2F2F2" w:themeColor="background1" w:themeShade="F2"/>
        <w:insideV w:val="single" w:sz="4" w:space="0" w:color="F2F2F2" w:themeColor="background1" w:themeShade="F2"/>
      </w:tblBorders>
    </w:tblPr>
    <w:tcPr>
      <w:shd w:val="clear" w:color="auto" w:fill="auto"/>
    </w:tcPr>
    <w:tblStylePr w:type="firstRow">
      <w:rPr>
        <w:rFonts w:ascii="PT Sans" w:hAnsi="PT Sans"/>
        <w:b/>
        <w:color w:val="FFFFFF" w:themeColor="background1"/>
        <w:sz w:val="20"/>
      </w:rPr>
      <w:tblPr/>
      <w:tcPr>
        <w:shd w:val="clear" w:color="auto" w:fill="E15163" w:themeFill="accent3"/>
      </w:tcPr>
    </w:tblStylePr>
    <w:tblStylePr w:type="lastRow">
      <w:rPr>
        <w:rFonts w:ascii="PT Sans" w:hAnsi="PT Sans"/>
        <w:sz w:val="20"/>
      </w:rPr>
    </w:tblStylePr>
    <w:tblStylePr w:type="firstCol">
      <w:rPr>
        <w:rFonts w:ascii="PT Sans" w:hAnsi="PT Sans"/>
        <w:sz w:val="20"/>
      </w:rPr>
    </w:tblStylePr>
  </w:style>
  <w:style w:type="table" w:customStyle="1" w:styleId="Style1">
    <w:name w:val="Style1"/>
    <w:basedOn w:val="TableNormal"/>
    <w:uiPriority w:val="99"/>
    <w:rsid w:val="00533DB6"/>
    <w:rPr>
      <w:rFonts w:ascii="Calibri" w:hAnsi="Calibri"/>
      <w:sz w:val="22"/>
    </w:rPr>
    <w:tblPr>
      <w:tblBorders>
        <w:left w:val="single" w:sz="24" w:space="0" w:color="B5DBAE" w:themeColor="accent4"/>
      </w:tblBorders>
    </w:tblPr>
    <w:tcPr>
      <w:shd w:val="clear" w:color="auto" w:fill="E7E6E6" w:themeFill="background2"/>
    </w:tcPr>
  </w:style>
  <w:style w:type="table" w:customStyle="1" w:styleId="Tableheader">
    <w:name w:val="Table header"/>
    <w:basedOn w:val="TableNormal"/>
    <w:uiPriority w:val="99"/>
    <w:rsid w:val="003E0541"/>
    <w:tblPr/>
    <w:tblStylePr w:type="firstRow">
      <w:rPr>
        <w:rFonts w:ascii="PT Sans" w:hAnsi="PT Sans"/>
      </w:rPr>
      <w:tblPr/>
      <w:tcPr>
        <w:tcBorders>
          <w:top w:val="nil"/>
        </w:tcBorders>
        <w:shd w:val="clear" w:color="auto" w:fill="F4F4F4"/>
      </w:tcPr>
    </w:tblStylePr>
  </w:style>
  <w:style w:type="paragraph" w:customStyle="1" w:styleId="Tablenote-belowtable">
    <w:name w:val="Table note - below table"/>
    <w:uiPriority w:val="2"/>
    <w:qFormat/>
    <w:rsid w:val="00BB42F0"/>
    <w:pPr>
      <w:spacing w:before="120" w:after="240"/>
    </w:pPr>
    <w:rPr>
      <w:rFonts w:ascii="PT Sans" w:hAnsi="PT Sans"/>
      <w:i/>
      <w:color w:val="4D4D4F" w:themeColor="accent6"/>
      <w:sz w:val="16"/>
      <w:szCs w:val="22"/>
    </w:rPr>
  </w:style>
  <w:style w:type="character" w:styleId="UnresolvedMention">
    <w:name w:val="Unresolved Mention"/>
    <w:basedOn w:val="DefaultParagraphFont"/>
    <w:uiPriority w:val="99"/>
    <w:semiHidden/>
    <w:unhideWhenUsed/>
    <w:rsid w:val="0067309E"/>
    <w:rPr>
      <w:color w:val="605E5C"/>
      <w:shd w:val="clear" w:color="auto" w:fill="E1DFDD"/>
    </w:rPr>
  </w:style>
  <w:style w:type="table" w:styleId="GridTable1Light-Accent4">
    <w:name w:val="Grid Table 1 Light Accent 4"/>
    <w:basedOn w:val="TableNormal"/>
    <w:uiPriority w:val="46"/>
    <w:rsid w:val="002C5F2D"/>
    <w:tblPr>
      <w:tblStyleRowBandSize w:val="1"/>
      <w:tblStyleColBandSize w:val="1"/>
      <w:tblBorders>
        <w:top w:val="single" w:sz="4" w:space="0" w:color="E1F0DE" w:themeColor="accent4" w:themeTint="66"/>
        <w:left w:val="single" w:sz="4" w:space="0" w:color="E1F0DE" w:themeColor="accent4" w:themeTint="66"/>
        <w:bottom w:val="single" w:sz="4" w:space="0" w:color="E1F0DE" w:themeColor="accent4" w:themeTint="66"/>
        <w:right w:val="single" w:sz="4" w:space="0" w:color="E1F0DE" w:themeColor="accent4" w:themeTint="66"/>
        <w:insideH w:val="single" w:sz="4" w:space="0" w:color="E1F0DE" w:themeColor="accent4" w:themeTint="66"/>
        <w:insideV w:val="single" w:sz="4" w:space="0" w:color="E1F0DE" w:themeColor="accent4" w:themeTint="66"/>
      </w:tblBorders>
    </w:tblPr>
    <w:tblStylePr w:type="firstRow">
      <w:rPr>
        <w:b/>
        <w:bCs/>
      </w:rPr>
      <w:tblPr/>
      <w:tcPr>
        <w:tcBorders>
          <w:bottom w:val="single" w:sz="12" w:space="0" w:color="D2E9CE" w:themeColor="accent4" w:themeTint="99"/>
        </w:tcBorders>
      </w:tcPr>
    </w:tblStylePr>
    <w:tblStylePr w:type="lastRow">
      <w:rPr>
        <w:b/>
        <w:bCs/>
      </w:rPr>
      <w:tblPr/>
      <w:tcPr>
        <w:tcBorders>
          <w:top w:val="double" w:sz="2" w:space="0" w:color="D2E9CE" w:themeColor="accent4" w:themeTint="99"/>
        </w:tcBorders>
      </w:tcPr>
    </w:tblStylePr>
    <w:tblStylePr w:type="firstCol">
      <w:rPr>
        <w:b/>
        <w:bCs/>
      </w:rPr>
    </w:tblStylePr>
    <w:tblStylePr w:type="lastCol">
      <w:rPr>
        <w:b/>
        <w:bCs/>
      </w:rPr>
    </w:tblStylePr>
  </w:style>
  <w:style w:type="paragraph" w:customStyle="1" w:styleId="AnnexHeading3">
    <w:name w:val="Annex Heading 3"/>
    <w:basedOn w:val="Heading3"/>
    <w:uiPriority w:val="7"/>
    <w:qFormat/>
    <w:rsid w:val="00397F22"/>
    <w:pPr>
      <w:numPr>
        <w:numId w:val="26"/>
      </w:numPr>
    </w:pPr>
  </w:style>
  <w:style w:type="table" w:styleId="ListTable1Light-Accent2">
    <w:name w:val="List Table 1 Light Accent 2"/>
    <w:basedOn w:val="TableNormal"/>
    <w:uiPriority w:val="46"/>
    <w:rsid w:val="006E5C29"/>
    <w:tblPr>
      <w:tblStyleRowBandSize w:val="1"/>
      <w:tblStyleColBandSize w:val="1"/>
    </w:tblPr>
    <w:tblStylePr w:type="firstRow">
      <w:rPr>
        <w:b/>
        <w:bCs/>
      </w:rPr>
      <w:tblPr/>
      <w:tcPr>
        <w:tcBorders>
          <w:bottom w:val="single" w:sz="4" w:space="0" w:color="D8C28D" w:themeColor="accent2" w:themeTint="99"/>
        </w:tcBorders>
      </w:tcPr>
    </w:tblStylePr>
    <w:tblStylePr w:type="lastRow">
      <w:rPr>
        <w:b/>
        <w:bCs/>
      </w:rPr>
      <w:tblPr/>
      <w:tcPr>
        <w:tcBorders>
          <w:top w:val="single" w:sz="4" w:space="0" w:color="D8C28D" w:themeColor="accent2" w:themeTint="99"/>
        </w:tcBorders>
      </w:tcPr>
    </w:tblStylePr>
    <w:tblStylePr w:type="firstCol">
      <w:rPr>
        <w:b/>
        <w:bCs/>
      </w:rPr>
    </w:tblStylePr>
    <w:tblStylePr w:type="lastCol">
      <w:rPr>
        <w:b/>
        <w:bCs/>
      </w:rPr>
    </w:tblStylePr>
    <w:tblStylePr w:type="band1Vert">
      <w:tblPr/>
      <w:tcPr>
        <w:shd w:val="clear" w:color="auto" w:fill="F2EAD9" w:themeFill="accent2" w:themeFillTint="33"/>
      </w:tcPr>
    </w:tblStylePr>
    <w:tblStylePr w:type="band1Horz">
      <w:tblPr/>
      <w:tcPr>
        <w:shd w:val="clear" w:color="auto" w:fill="F2EAD9" w:themeFill="accent2" w:themeFillTint="33"/>
      </w:tcPr>
    </w:tblStylePr>
  </w:style>
  <w:style w:type="paragraph" w:styleId="NormalWeb">
    <w:name w:val="Normal (Web)"/>
    <w:basedOn w:val="Normal"/>
    <w:uiPriority w:val="99"/>
    <w:semiHidden/>
    <w:unhideWhenUsed/>
    <w:rsid w:val="00574FE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2676F"/>
    <w:rPr>
      <w:sz w:val="16"/>
      <w:szCs w:val="16"/>
    </w:rPr>
  </w:style>
  <w:style w:type="paragraph" w:styleId="CommentText">
    <w:name w:val="annotation text"/>
    <w:basedOn w:val="Normal"/>
    <w:link w:val="CommentTextChar"/>
    <w:uiPriority w:val="99"/>
    <w:unhideWhenUsed/>
    <w:rsid w:val="0052676F"/>
    <w:rPr>
      <w:sz w:val="20"/>
      <w:szCs w:val="20"/>
    </w:rPr>
  </w:style>
  <w:style w:type="character" w:customStyle="1" w:styleId="CommentTextChar">
    <w:name w:val="Comment Text Char"/>
    <w:basedOn w:val="DefaultParagraphFont"/>
    <w:link w:val="CommentText"/>
    <w:uiPriority w:val="99"/>
    <w:rsid w:val="0052676F"/>
    <w:rPr>
      <w:rFonts w:ascii="Calibri" w:hAnsi="Calibri" w:cs="Calibri"/>
      <w:color w:val="4D4D4F" w:themeColor="accent6"/>
      <w:sz w:val="20"/>
      <w:szCs w:val="20"/>
    </w:rPr>
  </w:style>
  <w:style w:type="paragraph" w:styleId="CommentSubject">
    <w:name w:val="annotation subject"/>
    <w:basedOn w:val="CommentText"/>
    <w:next w:val="CommentText"/>
    <w:link w:val="CommentSubjectChar"/>
    <w:uiPriority w:val="99"/>
    <w:semiHidden/>
    <w:unhideWhenUsed/>
    <w:rsid w:val="0052676F"/>
    <w:rPr>
      <w:b/>
      <w:bCs/>
    </w:rPr>
  </w:style>
  <w:style w:type="character" w:customStyle="1" w:styleId="CommentSubjectChar">
    <w:name w:val="Comment Subject Char"/>
    <w:basedOn w:val="CommentTextChar"/>
    <w:link w:val="CommentSubject"/>
    <w:uiPriority w:val="99"/>
    <w:semiHidden/>
    <w:rsid w:val="0052676F"/>
    <w:rPr>
      <w:rFonts w:ascii="Calibri" w:hAnsi="Calibri" w:cs="Calibri"/>
      <w:b/>
      <w:bCs/>
      <w:color w:val="4D4D4F" w:themeColor="accent6"/>
      <w:sz w:val="20"/>
      <w:szCs w:val="20"/>
    </w:rPr>
  </w:style>
  <w:style w:type="paragraph" w:styleId="Revision">
    <w:name w:val="Revision"/>
    <w:hidden/>
    <w:uiPriority w:val="99"/>
    <w:semiHidden/>
    <w:rsid w:val="001C329B"/>
    <w:rPr>
      <w:rFonts w:ascii="Calibri" w:hAnsi="Calibri" w:cs="Calibri"/>
      <w:color w:val="4D4D4F" w:themeColor="accent6"/>
      <w:sz w:val="22"/>
      <w:szCs w:val="22"/>
    </w:rPr>
  </w:style>
  <w:style w:type="character" w:styleId="Mention">
    <w:name w:val="Mention"/>
    <w:basedOn w:val="DefaultParagraphFont"/>
    <w:uiPriority w:val="99"/>
    <w:unhideWhenUsed/>
    <w:rsid w:val="001C32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30567">
      <w:bodyDiv w:val="1"/>
      <w:marLeft w:val="0"/>
      <w:marRight w:val="0"/>
      <w:marTop w:val="0"/>
      <w:marBottom w:val="0"/>
      <w:divBdr>
        <w:top w:val="none" w:sz="0" w:space="0" w:color="auto"/>
        <w:left w:val="none" w:sz="0" w:space="0" w:color="auto"/>
        <w:bottom w:val="none" w:sz="0" w:space="0" w:color="auto"/>
        <w:right w:val="none" w:sz="0" w:space="0" w:color="auto"/>
      </w:divBdr>
    </w:div>
    <w:div w:id="78412714">
      <w:bodyDiv w:val="1"/>
      <w:marLeft w:val="0"/>
      <w:marRight w:val="0"/>
      <w:marTop w:val="0"/>
      <w:marBottom w:val="0"/>
      <w:divBdr>
        <w:top w:val="none" w:sz="0" w:space="0" w:color="auto"/>
        <w:left w:val="none" w:sz="0" w:space="0" w:color="auto"/>
        <w:bottom w:val="none" w:sz="0" w:space="0" w:color="auto"/>
        <w:right w:val="none" w:sz="0" w:space="0" w:color="auto"/>
      </w:divBdr>
    </w:div>
    <w:div w:id="92364145">
      <w:bodyDiv w:val="1"/>
      <w:marLeft w:val="0"/>
      <w:marRight w:val="0"/>
      <w:marTop w:val="0"/>
      <w:marBottom w:val="0"/>
      <w:divBdr>
        <w:top w:val="none" w:sz="0" w:space="0" w:color="auto"/>
        <w:left w:val="none" w:sz="0" w:space="0" w:color="auto"/>
        <w:bottom w:val="none" w:sz="0" w:space="0" w:color="auto"/>
        <w:right w:val="none" w:sz="0" w:space="0" w:color="auto"/>
      </w:divBdr>
    </w:div>
    <w:div w:id="281890162">
      <w:bodyDiv w:val="1"/>
      <w:marLeft w:val="0"/>
      <w:marRight w:val="0"/>
      <w:marTop w:val="0"/>
      <w:marBottom w:val="0"/>
      <w:divBdr>
        <w:top w:val="none" w:sz="0" w:space="0" w:color="auto"/>
        <w:left w:val="none" w:sz="0" w:space="0" w:color="auto"/>
        <w:bottom w:val="none" w:sz="0" w:space="0" w:color="auto"/>
        <w:right w:val="none" w:sz="0" w:space="0" w:color="auto"/>
      </w:divBdr>
    </w:div>
    <w:div w:id="894438294">
      <w:bodyDiv w:val="1"/>
      <w:marLeft w:val="0"/>
      <w:marRight w:val="0"/>
      <w:marTop w:val="0"/>
      <w:marBottom w:val="0"/>
      <w:divBdr>
        <w:top w:val="none" w:sz="0" w:space="0" w:color="auto"/>
        <w:left w:val="none" w:sz="0" w:space="0" w:color="auto"/>
        <w:bottom w:val="none" w:sz="0" w:space="0" w:color="auto"/>
        <w:right w:val="none" w:sz="0" w:space="0" w:color="auto"/>
      </w:divBdr>
    </w:div>
    <w:div w:id="1225067607">
      <w:bodyDiv w:val="1"/>
      <w:marLeft w:val="0"/>
      <w:marRight w:val="0"/>
      <w:marTop w:val="0"/>
      <w:marBottom w:val="0"/>
      <w:divBdr>
        <w:top w:val="none" w:sz="0" w:space="0" w:color="auto"/>
        <w:left w:val="none" w:sz="0" w:space="0" w:color="auto"/>
        <w:bottom w:val="none" w:sz="0" w:space="0" w:color="auto"/>
        <w:right w:val="none" w:sz="0" w:space="0" w:color="auto"/>
      </w:divBdr>
    </w:div>
    <w:div w:id="1264145866">
      <w:bodyDiv w:val="1"/>
      <w:marLeft w:val="0"/>
      <w:marRight w:val="0"/>
      <w:marTop w:val="0"/>
      <w:marBottom w:val="0"/>
      <w:divBdr>
        <w:top w:val="none" w:sz="0" w:space="0" w:color="auto"/>
        <w:left w:val="none" w:sz="0" w:space="0" w:color="auto"/>
        <w:bottom w:val="none" w:sz="0" w:space="0" w:color="auto"/>
        <w:right w:val="none" w:sz="0" w:space="0" w:color="auto"/>
      </w:divBdr>
    </w:div>
    <w:div w:id="1660886705">
      <w:bodyDiv w:val="1"/>
      <w:marLeft w:val="0"/>
      <w:marRight w:val="0"/>
      <w:marTop w:val="0"/>
      <w:marBottom w:val="0"/>
      <w:divBdr>
        <w:top w:val="none" w:sz="0" w:space="0" w:color="auto"/>
        <w:left w:val="none" w:sz="0" w:space="0" w:color="auto"/>
        <w:bottom w:val="none" w:sz="0" w:space="0" w:color="auto"/>
        <w:right w:val="none" w:sz="0" w:space="0" w:color="auto"/>
      </w:divBdr>
    </w:div>
    <w:div w:id="1793206697">
      <w:bodyDiv w:val="1"/>
      <w:marLeft w:val="0"/>
      <w:marRight w:val="0"/>
      <w:marTop w:val="0"/>
      <w:marBottom w:val="0"/>
      <w:divBdr>
        <w:top w:val="none" w:sz="0" w:space="0" w:color="auto"/>
        <w:left w:val="none" w:sz="0" w:space="0" w:color="auto"/>
        <w:bottom w:val="none" w:sz="0" w:space="0" w:color="auto"/>
        <w:right w:val="none" w:sz="0" w:space="0" w:color="auto"/>
      </w:divBdr>
    </w:div>
    <w:div w:id="19838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rgbClr val="000000"/>
      </a:dk1>
      <a:lt1>
        <a:srgbClr val="FFFFFF"/>
      </a:lt1>
      <a:dk2>
        <a:srgbClr val="44546A"/>
      </a:dk2>
      <a:lt2>
        <a:srgbClr val="E7E6E6"/>
      </a:lt2>
      <a:accent1>
        <a:srgbClr val="4C0053"/>
      </a:accent1>
      <a:accent2>
        <a:srgbClr val="BE9A41"/>
      </a:accent2>
      <a:accent3>
        <a:srgbClr val="E15163"/>
      </a:accent3>
      <a:accent4>
        <a:srgbClr val="B5DBAE"/>
      </a:accent4>
      <a:accent5>
        <a:srgbClr val="69A2AF"/>
      </a:accent5>
      <a:accent6>
        <a:srgbClr val="4D4D4F"/>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BBE234EC9BFE4693B4A91216389BC8" ma:contentTypeVersion="13" ma:contentTypeDescription="Create a new document." ma:contentTypeScope="" ma:versionID="e296ecd1d92c5dc9686ddc8341df8b1b">
  <xsd:schema xmlns:xsd="http://www.w3.org/2001/XMLSchema" xmlns:xs="http://www.w3.org/2001/XMLSchema" xmlns:p="http://schemas.microsoft.com/office/2006/metadata/properties" xmlns:ns2="0abd7c70-5df2-413d-bf7f-f852c4259910" xmlns:ns3="e67abd1e-4b54-4bb4-88d3-85f22a578c17" targetNamespace="http://schemas.microsoft.com/office/2006/metadata/properties" ma:root="true" ma:fieldsID="604887d45b59a3f8ba6181c1a4c70505" ns2:_="" ns3:_="">
    <xsd:import namespace="0abd7c70-5df2-413d-bf7f-f852c4259910"/>
    <xsd:import namespace="e67abd1e-4b54-4bb4-88d3-85f22a578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d7c70-5df2-413d-bf7f-f852c425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362a25-e20b-4186-85d0-bb15d22858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7abd1e-4b54-4bb4-88d3-85f22a578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0cb8ac-c487-4948-bd2c-6111d1a09238}" ma:internalName="TaxCatchAll" ma:showField="CatchAllData" ma:web="e67abd1e-4b54-4bb4-88d3-85f22a578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7abd1e-4b54-4bb4-88d3-85f22a578c17" xsi:nil="true"/>
    <lcf76f155ced4ddcb4097134ff3c332f xmlns="0abd7c70-5df2-413d-bf7f-f852c425991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E4BB3-502D-4B56-8CA5-4A28F6726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d7c70-5df2-413d-bf7f-f852c4259910"/>
    <ds:schemaRef ds:uri="e67abd1e-4b54-4bb4-88d3-85f22a578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DDB7F-06DB-4695-8B15-8E5429DFDDDF}">
  <ds:schemaRefs>
    <ds:schemaRef ds:uri="http://www.w3.org/XML/1998/namespace"/>
    <ds:schemaRef ds:uri="http://schemas.openxmlformats.org/package/2006/metadata/core-properties"/>
    <ds:schemaRef ds:uri="e67abd1e-4b54-4bb4-88d3-85f22a578c17"/>
    <ds:schemaRef ds:uri="http://purl.org/dc/terms/"/>
    <ds:schemaRef ds:uri="http://schemas.microsoft.com/office/2006/documentManagement/types"/>
    <ds:schemaRef ds:uri="http://schemas.microsoft.com/office/infopath/2007/PartnerControls"/>
    <ds:schemaRef ds:uri="http://purl.org/dc/elements/1.1/"/>
    <ds:schemaRef ds:uri="0abd7c70-5df2-413d-bf7f-f852c4259910"/>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089B473D-F6B1-FA41-BC54-F839BABEF31D}">
  <ds:schemaRefs>
    <ds:schemaRef ds:uri="http://schemas.openxmlformats.org/officeDocument/2006/bibliography"/>
  </ds:schemaRefs>
</ds:datastoreItem>
</file>

<file path=customXml/itemProps4.xml><?xml version="1.0" encoding="utf-8"?>
<ds:datastoreItem xmlns:ds="http://schemas.openxmlformats.org/officeDocument/2006/customXml" ds:itemID="{09CC9D67-0423-4072-8295-38E0DDE0F7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1828</Words>
  <Characters>10420</Characters>
  <Application>Microsoft Office Word</Application>
  <DocSecurity>0</DocSecurity>
  <Lines>86</Lines>
  <Paragraphs>24</Paragraphs>
  <ScaleCrop>false</ScaleCrop>
  <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Redman Sarah</dc:creator>
  <cp:keywords/>
  <dc:description/>
  <cp:lastModifiedBy>Bernie Wyler</cp:lastModifiedBy>
  <cp:revision>199</cp:revision>
  <cp:lastPrinted>2018-05-24T09:01:00Z</cp:lastPrinted>
  <dcterms:created xsi:type="dcterms:W3CDTF">2024-01-31T09:35:00Z</dcterms:created>
  <dcterms:modified xsi:type="dcterms:W3CDTF">2024-12-10T11:42:00Z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http://www.zotero.org/styles/oxford-university-press-scimed-author-date</vt:lpwstr>
  </property>
  <property fmtid="{D5CDD505-2E9C-101B-9397-08002B2CF9AE}" pid="21" name="Mendeley Recent Style Name 9_1">
    <vt:lpwstr>Oxford University Press SciMed (author-date)</vt:lpwstr>
  </property>
  <property fmtid="{D5CDD505-2E9C-101B-9397-08002B2CF9AE}" pid="22" name="ContentTypeId">
    <vt:lpwstr>0x010100B9BBE234EC9BFE4693B4A91216389BC8</vt:lpwstr>
  </property>
  <property fmtid="{D5CDD505-2E9C-101B-9397-08002B2CF9AE}" pid="23" name="AuthorIds_UIVersion_512">
    <vt:lpwstr>68</vt:lpwstr>
  </property>
  <property fmtid="{D5CDD505-2E9C-101B-9397-08002B2CF9AE}" pid="24" name="MediaServiceImageTags">
    <vt:lpwstr/>
  </property>
</Properties>
</file>